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91" w:rsidRDefault="00E42891" w:rsidP="005F0271">
      <w:pPr>
        <w:jc w:val="center"/>
        <w:rPr>
          <w:b/>
          <w:bCs/>
          <w:sz w:val="26"/>
          <w:szCs w:val="26"/>
          <w:rtl/>
        </w:rPr>
      </w:pPr>
      <w:bookmarkStart w:id="0" w:name="_Toc503130993"/>
      <w:r>
        <w:rPr>
          <w:noProof/>
        </w:rPr>
        <w:drawing>
          <wp:inline distT="0" distB="0" distL="0" distR="0" wp14:anchorId="1C84503C" wp14:editId="704508AA">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rsidR="00E42891" w:rsidRDefault="00E42891" w:rsidP="005F0271">
      <w:pPr>
        <w:rPr>
          <w:b/>
          <w:bCs/>
          <w:sz w:val="26"/>
          <w:szCs w:val="26"/>
          <w:rtl/>
        </w:rPr>
      </w:pPr>
      <w:r w:rsidRPr="00CB5068">
        <w:rPr>
          <w:b/>
          <w:bCs/>
          <w:sz w:val="26"/>
          <w:szCs w:val="26"/>
          <w:rtl/>
        </w:rPr>
        <w:t>תוכן עניינים</w:t>
      </w:r>
    </w:p>
    <w:p w:rsidR="00A75448" w:rsidRDefault="00E42891">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147921021" w:history="1">
        <w:r w:rsidR="00A75448" w:rsidRPr="005B5066">
          <w:rPr>
            <w:rStyle w:val="Hyperlink"/>
            <w:noProof/>
            <w:rtl/>
          </w:rPr>
          <w:t>תזכיר חוק</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Toc147921021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2</w:t>
        </w:r>
        <w:r w:rsidR="00A75448">
          <w:rPr>
            <w:rStyle w:val="Hyperlink"/>
            <w:noProof/>
            <w:rtl/>
          </w:rPr>
          <w:fldChar w:fldCharType="end"/>
        </w:r>
      </w:hyperlink>
    </w:p>
    <w:p w:rsidR="00A75448" w:rsidRDefault="007C7955">
      <w:pPr>
        <w:pStyle w:val="TOC4"/>
        <w:rPr>
          <w:rFonts w:cstheme="minorBidi"/>
          <w:rtl/>
        </w:rPr>
      </w:pPr>
      <w:hyperlink w:anchor="_Toc147921022" w:history="1">
        <w:r w:rsidR="00A75448" w:rsidRPr="005B5066">
          <w:rPr>
            <w:rStyle w:val="Hyperlink"/>
            <w:rtl/>
          </w:rPr>
          <w:t>שם החוק המוצע</w:t>
        </w:r>
        <w:r w:rsidR="00A75448">
          <w:rPr>
            <w:webHidden/>
            <w:rtl/>
          </w:rPr>
          <w:tab/>
        </w:r>
        <w:r w:rsidR="00A75448">
          <w:rPr>
            <w:rStyle w:val="Hyperlink"/>
            <w:rtl/>
          </w:rPr>
          <w:fldChar w:fldCharType="begin"/>
        </w:r>
        <w:r w:rsidR="00A75448">
          <w:rPr>
            <w:webHidden/>
            <w:rtl/>
          </w:rPr>
          <w:instrText xml:space="preserve"> </w:instrText>
        </w:r>
        <w:r w:rsidR="00A75448">
          <w:rPr>
            <w:webHidden/>
          </w:rPr>
          <w:instrText>PAGEREF</w:instrText>
        </w:r>
        <w:r w:rsidR="00A75448">
          <w:rPr>
            <w:webHidden/>
            <w:rtl/>
          </w:rPr>
          <w:instrText xml:space="preserve"> _</w:instrText>
        </w:r>
        <w:r w:rsidR="00A75448">
          <w:rPr>
            <w:webHidden/>
          </w:rPr>
          <w:instrText>Toc147921022 \h</w:instrText>
        </w:r>
        <w:r w:rsidR="00A75448">
          <w:rPr>
            <w:webHidden/>
            <w:rtl/>
          </w:rPr>
          <w:instrText xml:space="preserve"> </w:instrText>
        </w:r>
        <w:r w:rsidR="00A75448">
          <w:rPr>
            <w:rStyle w:val="Hyperlink"/>
            <w:rtl/>
          </w:rPr>
        </w:r>
        <w:r w:rsidR="00A75448">
          <w:rPr>
            <w:rStyle w:val="Hyperlink"/>
            <w:rtl/>
          </w:rPr>
          <w:fldChar w:fldCharType="separate"/>
        </w:r>
        <w:r w:rsidR="00A75448">
          <w:rPr>
            <w:webHidden/>
            <w:rtl/>
          </w:rPr>
          <w:t>2</w:t>
        </w:r>
        <w:r w:rsidR="00A75448">
          <w:rPr>
            <w:rStyle w:val="Hyperlink"/>
            <w:rtl/>
          </w:rPr>
          <w:fldChar w:fldCharType="end"/>
        </w:r>
      </w:hyperlink>
    </w:p>
    <w:p w:rsidR="00A75448" w:rsidRDefault="007C7955">
      <w:pPr>
        <w:pStyle w:val="TOC4"/>
        <w:rPr>
          <w:rFonts w:cstheme="minorBidi"/>
          <w:rtl/>
        </w:rPr>
      </w:pPr>
      <w:hyperlink w:anchor="_Toc147921023" w:history="1">
        <w:r w:rsidR="00A75448" w:rsidRPr="005B5066">
          <w:rPr>
            <w:rStyle w:val="Hyperlink"/>
            <w:rtl/>
          </w:rPr>
          <w:t>מטרת החוק המוצע, הצורך בו, עיקרי הוראותיו והשפעתו על הדין הקיים</w:t>
        </w:r>
        <w:r w:rsidR="00A75448">
          <w:rPr>
            <w:webHidden/>
            <w:rtl/>
          </w:rPr>
          <w:tab/>
        </w:r>
        <w:r w:rsidR="00A75448">
          <w:rPr>
            <w:rStyle w:val="Hyperlink"/>
            <w:rtl/>
          </w:rPr>
          <w:fldChar w:fldCharType="begin"/>
        </w:r>
        <w:r w:rsidR="00A75448">
          <w:rPr>
            <w:webHidden/>
            <w:rtl/>
          </w:rPr>
          <w:instrText xml:space="preserve"> </w:instrText>
        </w:r>
        <w:r w:rsidR="00A75448">
          <w:rPr>
            <w:webHidden/>
          </w:rPr>
          <w:instrText>PAGEREF</w:instrText>
        </w:r>
        <w:r w:rsidR="00A75448">
          <w:rPr>
            <w:webHidden/>
            <w:rtl/>
          </w:rPr>
          <w:instrText xml:space="preserve"> _</w:instrText>
        </w:r>
        <w:r w:rsidR="00A75448">
          <w:rPr>
            <w:webHidden/>
          </w:rPr>
          <w:instrText>Toc147921023 \h</w:instrText>
        </w:r>
        <w:r w:rsidR="00A75448">
          <w:rPr>
            <w:webHidden/>
            <w:rtl/>
          </w:rPr>
          <w:instrText xml:space="preserve"> </w:instrText>
        </w:r>
        <w:r w:rsidR="00A75448">
          <w:rPr>
            <w:rStyle w:val="Hyperlink"/>
            <w:rtl/>
          </w:rPr>
        </w:r>
        <w:r w:rsidR="00A75448">
          <w:rPr>
            <w:rStyle w:val="Hyperlink"/>
            <w:rtl/>
          </w:rPr>
          <w:fldChar w:fldCharType="separate"/>
        </w:r>
        <w:r w:rsidR="00A75448">
          <w:rPr>
            <w:webHidden/>
            <w:rtl/>
          </w:rPr>
          <w:t>2</w:t>
        </w:r>
        <w:r w:rsidR="00A75448">
          <w:rPr>
            <w:rStyle w:val="Hyperlink"/>
            <w:rtl/>
          </w:rPr>
          <w:fldChar w:fldCharType="end"/>
        </w:r>
      </w:hyperlink>
    </w:p>
    <w:p w:rsidR="00A75448" w:rsidRDefault="007C7955">
      <w:pPr>
        <w:pStyle w:val="TOC4"/>
        <w:rPr>
          <w:rFonts w:cstheme="minorBidi"/>
          <w:rtl/>
        </w:rPr>
      </w:pPr>
      <w:hyperlink w:anchor="_Toc147921024" w:history="1">
        <w:r w:rsidR="00A75448" w:rsidRPr="005B5066">
          <w:rPr>
            <w:rStyle w:val="Hyperlink"/>
            <w:rtl/>
          </w:rPr>
          <w:t>השפעת החוק המוצע על חוקים קיימים</w:t>
        </w:r>
        <w:r w:rsidR="00A75448">
          <w:rPr>
            <w:webHidden/>
            <w:rtl/>
          </w:rPr>
          <w:tab/>
        </w:r>
        <w:r w:rsidR="00A75448">
          <w:rPr>
            <w:rStyle w:val="Hyperlink"/>
            <w:rtl/>
          </w:rPr>
          <w:fldChar w:fldCharType="begin"/>
        </w:r>
        <w:r w:rsidR="00A75448">
          <w:rPr>
            <w:webHidden/>
            <w:rtl/>
          </w:rPr>
          <w:instrText xml:space="preserve"> </w:instrText>
        </w:r>
        <w:r w:rsidR="00A75448">
          <w:rPr>
            <w:webHidden/>
          </w:rPr>
          <w:instrText>PAGEREF</w:instrText>
        </w:r>
        <w:r w:rsidR="00A75448">
          <w:rPr>
            <w:webHidden/>
            <w:rtl/>
          </w:rPr>
          <w:instrText xml:space="preserve"> _</w:instrText>
        </w:r>
        <w:r w:rsidR="00A75448">
          <w:rPr>
            <w:webHidden/>
          </w:rPr>
          <w:instrText>Toc147921024 \h</w:instrText>
        </w:r>
        <w:r w:rsidR="00A75448">
          <w:rPr>
            <w:webHidden/>
            <w:rtl/>
          </w:rPr>
          <w:instrText xml:space="preserve"> </w:instrText>
        </w:r>
        <w:r w:rsidR="00A75448">
          <w:rPr>
            <w:rStyle w:val="Hyperlink"/>
            <w:rtl/>
          </w:rPr>
        </w:r>
        <w:r w:rsidR="00A75448">
          <w:rPr>
            <w:rStyle w:val="Hyperlink"/>
            <w:rtl/>
          </w:rPr>
          <w:fldChar w:fldCharType="separate"/>
        </w:r>
        <w:r w:rsidR="00A75448">
          <w:rPr>
            <w:webHidden/>
            <w:rtl/>
          </w:rPr>
          <w:t>2</w:t>
        </w:r>
        <w:r w:rsidR="00A75448">
          <w:rPr>
            <w:rStyle w:val="Hyperlink"/>
            <w:rtl/>
          </w:rPr>
          <w:fldChar w:fldCharType="end"/>
        </w:r>
      </w:hyperlink>
    </w:p>
    <w:p w:rsidR="00A75448" w:rsidRDefault="007C7955">
      <w:pPr>
        <w:pStyle w:val="TOC4"/>
        <w:rPr>
          <w:rFonts w:cstheme="minorBidi"/>
          <w:rtl/>
        </w:rPr>
      </w:pPr>
      <w:hyperlink w:anchor="_Toc147921025" w:history="1">
        <w:r w:rsidR="00A75448" w:rsidRPr="005B5066">
          <w:rPr>
            <w:rStyle w:val="Hyperlink"/>
            <w:rtl/>
          </w:rPr>
          <w:t>להלן נוסח החוק המוצע ודברי הסבר</w:t>
        </w:r>
        <w:r w:rsidR="00A75448">
          <w:rPr>
            <w:webHidden/>
            <w:rtl/>
          </w:rPr>
          <w:tab/>
        </w:r>
        <w:r w:rsidR="00A75448">
          <w:rPr>
            <w:rStyle w:val="Hyperlink"/>
            <w:rtl/>
          </w:rPr>
          <w:fldChar w:fldCharType="begin"/>
        </w:r>
        <w:r w:rsidR="00A75448">
          <w:rPr>
            <w:webHidden/>
            <w:rtl/>
          </w:rPr>
          <w:instrText xml:space="preserve"> </w:instrText>
        </w:r>
        <w:r w:rsidR="00A75448">
          <w:rPr>
            <w:webHidden/>
          </w:rPr>
          <w:instrText>PAGEREF</w:instrText>
        </w:r>
        <w:r w:rsidR="00A75448">
          <w:rPr>
            <w:webHidden/>
            <w:rtl/>
          </w:rPr>
          <w:instrText xml:space="preserve"> _</w:instrText>
        </w:r>
        <w:r w:rsidR="00A75448">
          <w:rPr>
            <w:webHidden/>
          </w:rPr>
          <w:instrText>Toc147921025 \h</w:instrText>
        </w:r>
        <w:r w:rsidR="00A75448">
          <w:rPr>
            <w:webHidden/>
            <w:rtl/>
          </w:rPr>
          <w:instrText xml:space="preserve"> </w:instrText>
        </w:r>
        <w:r w:rsidR="00A75448">
          <w:rPr>
            <w:rStyle w:val="Hyperlink"/>
            <w:rtl/>
          </w:rPr>
        </w:r>
        <w:r w:rsidR="00A75448">
          <w:rPr>
            <w:rStyle w:val="Hyperlink"/>
            <w:rtl/>
          </w:rPr>
          <w:fldChar w:fldCharType="separate"/>
        </w:r>
        <w:r w:rsidR="00A75448">
          <w:rPr>
            <w:webHidden/>
            <w:rtl/>
          </w:rPr>
          <w:t>2</w:t>
        </w:r>
        <w:r w:rsidR="00A75448">
          <w:rPr>
            <w:rStyle w:val="Hyperlink"/>
            <w:rtl/>
          </w:rPr>
          <w:fldChar w:fldCharType="end"/>
        </w:r>
      </w:hyperlink>
    </w:p>
    <w:p w:rsidR="00A75448" w:rsidRDefault="007C7955">
      <w:pPr>
        <w:pStyle w:val="TOC1"/>
        <w:rPr>
          <w:rFonts w:asciiTheme="minorHAnsi" w:eastAsiaTheme="minorEastAsia" w:hAnsiTheme="minorHAnsi" w:cstheme="minorBidi"/>
          <w:bCs w:val="0"/>
          <w:noProof/>
          <w:sz w:val="22"/>
          <w:rtl/>
        </w:rPr>
      </w:pPr>
      <w:hyperlink w:anchor="_Toc147921026" w:history="1">
        <w:r w:rsidR="00A75448" w:rsidRPr="005B5066">
          <w:rPr>
            <w:rStyle w:val="Hyperlink"/>
            <w:noProof/>
            <w:rtl/>
          </w:rPr>
          <w:t>תזכיר חוק מטעם משרד הפנים:</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Toc147921026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3</w:t>
        </w:r>
        <w:r w:rsidR="00A75448">
          <w:rPr>
            <w:rStyle w:val="Hyperlink"/>
            <w:noProof/>
            <w:rtl/>
          </w:rPr>
          <w:fldChar w:fldCharType="end"/>
        </w:r>
      </w:hyperlink>
    </w:p>
    <w:p w:rsidR="00A75448" w:rsidRDefault="007C7955">
      <w:pPr>
        <w:pStyle w:val="TOC1"/>
        <w:rPr>
          <w:rFonts w:asciiTheme="minorHAnsi" w:eastAsiaTheme="minorEastAsia" w:hAnsiTheme="minorHAnsi" w:cstheme="minorBidi"/>
          <w:bCs w:val="0"/>
          <w:noProof/>
          <w:sz w:val="22"/>
          <w:rtl/>
        </w:rPr>
      </w:pPr>
      <w:hyperlink w:anchor="_Toc147921027" w:history="1">
        <w:r w:rsidR="00A75448" w:rsidRPr="005B5066">
          <w:rPr>
            <w:rStyle w:val="Hyperlink"/>
            <w:noProof/>
            <w:rtl/>
          </w:rPr>
          <w:t>תזכיר חוק לדחיית הבחירות הכלליות לרשויות המקומיות והמועצות האזוריות, התשפ"ד–2023</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Toc147921027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3</w:t>
        </w:r>
        <w:r w:rsidR="00A75448">
          <w:rPr>
            <w:rStyle w:val="Hyperlink"/>
            <w:noProof/>
            <w:rtl/>
          </w:rPr>
          <w:fldChar w:fldCharType="end"/>
        </w:r>
      </w:hyperlink>
    </w:p>
    <w:p w:rsidR="00A75448" w:rsidRDefault="007C7955">
      <w:pPr>
        <w:pStyle w:val="TOC3"/>
        <w:rPr>
          <w:rFonts w:asciiTheme="minorHAnsi" w:eastAsiaTheme="minorEastAsia" w:hAnsiTheme="minorHAnsi" w:cstheme="minorBidi"/>
          <w:noProof/>
          <w:sz w:val="22"/>
          <w:rtl/>
        </w:rPr>
      </w:pPr>
      <w:hyperlink w:anchor="_Toc147921028" w:history="1">
        <w:r w:rsidR="00A75448" w:rsidRPr="005B5066">
          <w:rPr>
            <w:rStyle w:val="Hyperlink"/>
            <w:noProof/>
            <w:rtl/>
          </w:rPr>
          <w:t>דחיית הבחירות הכלליות לרשויות המקומיות</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Toc147921028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3</w:t>
        </w:r>
        <w:r w:rsidR="00A75448">
          <w:rPr>
            <w:rStyle w:val="Hyperlink"/>
            <w:noProof/>
            <w:rtl/>
          </w:rPr>
          <w:fldChar w:fldCharType="end"/>
        </w:r>
      </w:hyperlink>
    </w:p>
    <w:p w:rsidR="00A75448" w:rsidRDefault="007C7955">
      <w:pPr>
        <w:pStyle w:val="TOC3"/>
        <w:rPr>
          <w:rFonts w:asciiTheme="minorHAnsi" w:eastAsiaTheme="minorEastAsia" w:hAnsiTheme="minorHAnsi" w:cstheme="minorBidi"/>
          <w:noProof/>
          <w:sz w:val="22"/>
          <w:rtl/>
        </w:rPr>
      </w:pPr>
      <w:hyperlink w:anchor="_Toc147921029" w:history="1">
        <w:r w:rsidR="00A75448" w:rsidRPr="005B5066">
          <w:rPr>
            <w:rStyle w:val="Hyperlink"/>
            <w:noProof/>
            <w:rtl/>
          </w:rPr>
          <w:t>שמירת פעולות ומועדים</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Toc147921029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3</w:t>
        </w:r>
        <w:r w:rsidR="00A75448">
          <w:rPr>
            <w:rStyle w:val="Hyperlink"/>
            <w:noProof/>
            <w:rtl/>
          </w:rPr>
          <w:fldChar w:fldCharType="end"/>
        </w:r>
      </w:hyperlink>
    </w:p>
    <w:p w:rsidR="00A75448" w:rsidRDefault="007C7955">
      <w:pPr>
        <w:pStyle w:val="TOC3"/>
        <w:rPr>
          <w:rFonts w:asciiTheme="minorHAnsi" w:eastAsiaTheme="minorEastAsia" w:hAnsiTheme="minorHAnsi" w:cstheme="minorBidi"/>
          <w:noProof/>
          <w:sz w:val="22"/>
          <w:rtl/>
        </w:rPr>
      </w:pPr>
      <w:hyperlink w:anchor="_Toc147921030" w:history="1">
        <w:r w:rsidR="00A75448" w:rsidRPr="005B5066">
          <w:rPr>
            <w:rStyle w:val="Hyperlink"/>
            <w:noProof/>
            <w:rtl/>
          </w:rPr>
          <w:t>תחילה</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Toc147921030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3</w:t>
        </w:r>
        <w:r w:rsidR="00A75448">
          <w:rPr>
            <w:rStyle w:val="Hyperlink"/>
            <w:noProof/>
            <w:rtl/>
          </w:rPr>
          <w:fldChar w:fldCharType="end"/>
        </w:r>
      </w:hyperlink>
    </w:p>
    <w:p w:rsidR="00A75448" w:rsidRDefault="007C7955">
      <w:pPr>
        <w:pStyle w:val="TOC2"/>
        <w:rPr>
          <w:rFonts w:asciiTheme="minorHAnsi" w:eastAsiaTheme="minorEastAsia" w:hAnsiTheme="minorHAnsi" w:cstheme="minorBidi"/>
          <w:noProof/>
          <w:sz w:val="22"/>
          <w:rtl/>
        </w:rPr>
      </w:pPr>
      <w:hyperlink w:anchor="_Toc147921031" w:history="1">
        <w:r w:rsidR="00A75448" w:rsidRPr="005B5066">
          <w:rPr>
            <w:rStyle w:val="Hyperlink"/>
            <w:noProof/>
            <w:rtl/>
          </w:rPr>
          <w:t>דברי הסבר</w:t>
        </w:r>
        <w:r w:rsidR="00A75448">
          <w:rPr>
            <w:noProof/>
            <w:webHidden/>
            <w:rtl/>
          </w:rPr>
          <w:tab/>
        </w:r>
        <w:r w:rsidR="00A75448">
          <w:rPr>
            <w:rStyle w:val="Hyperlink"/>
            <w:noProof/>
            <w:rtl/>
          </w:rPr>
          <w:fldChar w:fldCharType="begin"/>
        </w:r>
        <w:r w:rsidR="00A75448">
          <w:rPr>
            <w:noProof/>
            <w:webHidden/>
            <w:rtl/>
          </w:rPr>
          <w:instrText xml:space="preserve"> </w:instrText>
        </w:r>
        <w:r w:rsidR="00A75448">
          <w:rPr>
            <w:noProof/>
            <w:webHidden/>
          </w:rPr>
          <w:instrText>PAGEREF</w:instrText>
        </w:r>
        <w:r w:rsidR="00A75448">
          <w:rPr>
            <w:noProof/>
            <w:webHidden/>
            <w:rtl/>
          </w:rPr>
          <w:instrText xml:space="preserve"> _</w:instrText>
        </w:r>
        <w:r w:rsidR="00A75448">
          <w:rPr>
            <w:noProof/>
            <w:webHidden/>
          </w:rPr>
          <w:instrText>Toc147921031 \h</w:instrText>
        </w:r>
        <w:r w:rsidR="00A75448">
          <w:rPr>
            <w:noProof/>
            <w:webHidden/>
            <w:rtl/>
          </w:rPr>
          <w:instrText xml:space="preserve"> </w:instrText>
        </w:r>
        <w:r w:rsidR="00A75448">
          <w:rPr>
            <w:rStyle w:val="Hyperlink"/>
            <w:noProof/>
            <w:rtl/>
          </w:rPr>
        </w:r>
        <w:r w:rsidR="00A75448">
          <w:rPr>
            <w:rStyle w:val="Hyperlink"/>
            <w:noProof/>
            <w:rtl/>
          </w:rPr>
          <w:fldChar w:fldCharType="separate"/>
        </w:r>
        <w:r w:rsidR="00A75448">
          <w:rPr>
            <w:noProof/>
            <w:webHidden/>
            <w:rtl/>
          </w:rPr>
          <w:t>3</w:t>
        </w:r>
        <w:r w:rsidR="00A75448">
          <w:rPr>
            <w:rStyle w:val="Hyperlink"/>
            <w:noProof/>
            <w:rtl/>
          </w:rPr>
          <w:fldChar w:fldCharType="end"/>
        </w:r>
      </w:hyperlink>
    </w:p>
    <w:p w:rsidR="00E42891" w:rsidRDefault="00E42891" w:rsidP="00E42891">
      <w:pPr>
        <w:rPr>
          <w:snapToGrid w:val="0"/>
          <w:rtl/>
        </w:rPr>
      </w:pPr>
      <w:r>
        <w:rPr>
          <w:rtl/>
        </w:rPr>
        <w:fldChar w:fldCharType="end"/>
      </w:r>
      <w:r>
        <w:rPr>
          <w:rtl/>
        </w:rPr>
        <w:br w:type="page"/>
      </w:r>
    </w:p>
    <w:p w:rsidR="00031960" w:rsidRDefault="00E42891" w:rsidP="00722C14">
      <w:pPr>
        <w:pStyle w:val="1"/>
        <w:keepNext w:val="0"/>
        <w:keepLines w:val="0"/>
      </w:pPr>
      <w:bookmarkStart w:id="1" w:name="_Toc147860960"/>
      <w:bookmarkStart w:id="2" w:name="_Toc147921021"/>
      <w:r>
        <w:rPr>
          <w:rFonts w:hint="cs"/>
          <w:rtl/>
        </w:rPr>
        <w:lastRenderedPageBreak/>
        <w:t>תזכיר</w:t>
      </w:r>
      <w:r w:rsidR="00031960">
        <w:rPr>
          <w:rtl/>
        </w:rPr>
        <w:t xml:space="preserve"> חוק</w:t>
      </w:r>
      <w:bookmarkEnd w:id="0"/>
      <w:bookmarkEnd w:id="1"/>
      <w:bookmarkEnd w:id="2"/>
    </w:p>
    <w:p w:rsidR="00031960" w:rsidRDefault="00031960" w:rsidP="00722C14">
      <w:pPr>
        <w:rPr>
          <w:rtl/>
        </w:rPr>
      </w:pPr>
    </w:p>
    <w:p w:rsidR="00031960" w:rsidRDefault="00031960" w:rsidP="004803DF">
      <w:pPr>
        <w:pStyle w:val="4"/>
        <w:numPr>
          <w:ilvl w:val="0"/>
          <w:numId w:val="0"/>
        </w:numPr>
        <w:rPr>
          <w:rtl/>
        </w:rPr>
      </w:pPr>
      <w:bookmarkStart w:id="3" w:name="_Toc147921022"/>
      <w:r>
        <w:rPr>
          <w:rFonts w:hint="cs"/>
          <w:rtl/>
        </w:rPr>
        <w:t>שם החוק המוצע</w:t>
      </w:r>
      <w:bookmarkEnd w:id="3"/>
    </w:p>
    <w:p w:rsidR="00031960" w:rsidRDefault="00026159" w:rsidP="00722C14">
      <w:pPr>
        <w:rPr>
          <w:rtl/>
        </w:rPr>
      </w:pPr>
      <w:r>
        <w:rPr>
          <w:rtl/>
        </w:rPr>
        <w:t>חוק</w:t>
      </w:r>
      <w:r>
        <w:rPr>
          <w:rFonts w:hint="cs"/>
          <w:rtl/>
        </w:rPr>
        <w:t xml:space="preserve"> לדחיית הבחירות הכלליות לרשויות המקומיות והמועצות האזוריות</w:t>
      </w:r>
      <w:r>
        <w:rPr>
          <w:rtl/>
        </w:rPr>
        <w:t xml:space="preserve">, </w:t>
      </w:r>
      <w:r>
        <w:rPr>
          <w:rFonts w:hint="cs"/>
          <w:rtl/>
        </w:rPr>
        <w:t>התשפ"ד-2023</w:t>
      </w:r>
    </w:p>
    <w:p w:rsidR="00031960" w:rsidRDefault="00031960" w:rsidP="00722C14">
      <w:pPr>
        <w:rPr>
          <w:rtl/>
        </w:rPr>
      </w:pPr>
    </w:p>
    <w:p w:rsidR="004803DF" w:rsidRDefault="004803DF" w:rsidP="00722C14">
      <w:pPr>
        <w:rPr>
          <w:rtl/>
        </w:rPr>
      </w:pPr>
    </w:p>
    <w:p w:rsidR="00031960" w:rsidRDefault="00031960" w:rsidP="004803DF">
      <w:pPr>
        <w:pStyle w:val="4"/>
        <w:numPr>
          <w:ilvl w:val="0"/>
          <w:numId w:val="0"/>
        </w:numPr>
        <w:rPr>
          <w:rtl/>
        </w:rPr>
      </w:pPr>
      <w:bookmarkStart w:id="4" w:name="_Toc147921023"/>
      <w:r>
        <w:rPr>
          <w:rFonts w:hint="cs"/>
          <w:rtl/>
        </w:rPr>
        <w:t>מטרת החוק המוצע, הצורך בו, עיקרי הוראותיו והשפעתו על הדין הקיים</w:t>
      </w:r>
      <w:bookmarkEnd w:id="4"/>
    </w:p>
    <w:p w:rsidR="00026159" w:rsidRDefault="00026159" w:rsidP="00026159">
      <w:pPr>
        <w:rPr>
          <w:rtl/>
        </w:rPr>
      </w:pPr>
      <w:r>
        <w:rPr>
          <w:rFonts w:hint="cs"/>
          <w:rtl/>
        </w:rPr>
        <w:t>הבחירות הכלליות לרשויות המקומיות צפויות להיערך ביום ט"ז בחשוון התשפ"ד, 31 באוקטובר 2023. מדובר בבחירות למועצות ולראשות העיריות, המועצות המקומיות והמועצות האזוריות ולוועדים המקומיים.</w:t>
      </w:r>
    </w:p>
    <w:p w:rsidR="00E42891" w:rsidRDefault="00E42891" w:rsidP="00026159">
      <w:pPr>
        <w:rPr>
          <w:rtl/>
        </w:rPr>
      </w:pPr>
    </w:p>
    <w:p w:rsidR="00E42891" w:rsidRDefault="00E42891" w:rsidP="007C7955">
      <w:pPr>
        <w:rPr>
          <w:rtl/>
        </w:rPr>
      </w:pPr>
      <w:r>
        <w:rPr>
          <w:rFonts w:hint="cs"/>
          <w:rtl/>
        </w:rPr>
        <w:t>על רקע מצב המלחמה בו מצויה מדינת ישראל, והקשיים בקיום מערכת בחירות במהלך התקופה האמור</w:t>
      </w:r>
      <w:r w:rsidR="00933B66">
        <w:rPr>
          <w:rFonts w:hint="cs"/>
          <w:rtl/>
        </w:rPr>
        <w:t>ה, מוצע לדחות את מועד הבחירות ב</w:t>
      </w:r>
      <w:r w:rsidR="00D8754B">
        <w:rPr>
          <w:rFonts w:hint="cs"/>
          <w:rtl/>
        </w:rPr>
        <w:t>שלושה</w:t>
      </w:r>
      <w:r>
        <w:rPr>
          <w:rFonts w:hint="cs"/>
          <w:rtl/>
        </w:rPr>
        <w:t xml:space="preserve"> חודשים</w:t>
      </w:r>
      <w:r w:rsidR="007C7955">
        <w:rPr>
          <w:rFonts w:hint="cs"/>
          <w:rtl/>
        </w:rPr>
        <w:t xml:space="preserve"> </w:t>
      </w:r>
      <w:r w:rsidR="007C7955">
        <w:rPr>
          <w:rtl/>
        </w:rPr>
        <w:t>–</w:t>
      </w:r>
      <w:bookmarkStart w:id="5" w:name="_GoBack"/>
      <w:bookmarkEnd w:id="5"/>
      <w:r w:rsidR="007C7955">
        <w:rPr>
          <w:rFonts w:hint="cs"/>
          <w:rtl/>
        </w:rPr>
        <w:t xml:space="preserve"> </w:t>
      </w:r>
      <w:r w:rsidR="00933B66">
        <w:rPr>
          <w:rFonts w:hint="cs"/>
          <w:rtl/>
        </w:rPr>
        <w:t>ליום כ' בשבט התשפ"ד, 30 בינואר 2024</w:t>
      </w:r>
      <w:r>
        <w:rPr>
          <w:rFonts w:hint="cs"/>
          <w:rtl/>
        </w:rPr>
        <w:t>.</w:t>
      </w:r>
    </w:p>
    <w:p w:rsidR="00E42891" w:rsidRDefault="00E42891" w:rsidP="00E42891">
      <w:pPr>
        <w:rPr>
          <w:rtl/>
        </w:rPr>
      </w:pPr>
    </w:p>
    <w:p w:rsidR="00026159" w:rsidRDefault="00E42891" w:rsidP="00026159">
      <w:pPr>
        <w:rPr>
          <w:rtl/>
        </w:rPr>
      </w:pPr>
      <w:r>
        <w:rPr>
          <w:rFonts w:hint="cs"/>
          <w:rtl/>
        </w:rPr>
        <w:t>עוד מוצע להבהיר ולקבוע כי פעולות שכבר בוצעו כדין ובמועד לפי המועד המקורי ימשיכו לעמוד בתוקפן.</w:t>
      </w:r>
    </w:p>
    <w:p w:rsidR="00031960" w:rsidRDefault="00031960" w:rsidP="00722C14">
      <w:pPr>
        <w:rPr>
          <w:rtl/>
        </w:rPr>
      </w:pPr>
    </w:p>
    <w:p w:rsidR="00031960" w:rsidRDefault="00031960" w:rsidP="00722C14">
      <w:pPr>
        <w:rPr>
          <w:rtl/>
        </w:rPr>
      </w:pPr>
    </w:p>
    <w:p w:rsidR="00031960" w:rsidRDefault="00031960" w:rsidP="004803DF">
      <w:pPr>
        <w:pStyle w:val="4"/>
        <w:numPr>
          <w:ilvl w:val="0"/>
          <w:numId w:val="0"/>
        </w:numPr>
        <w:rPr>
          <w:rtl/>
        </w:rPr>
      </w:pPr>
      <w:bookmarkStart w:id="6" w:name="_Toc147921024"/>
      <w:r>
        <w:rPr>
          <w:rFonts w:hint="cs"/>
          <w:rtl/>
        </w:rPr>
        <w:t xml:space="preserve">השפעת החוק המוצע על </w:t>
      </w:r>
      <w:r w:rsidR="00026159">
        <w:rPr>
          <w:rFonts w:hint="cs"/>
          <w:rtl/>
        </w:rPr>
        <w:t>חוקים קיימים</w:t>
      </w:r>
      <w:bookmarkEnd w:id="6"/>
      <w:r>
        <w:rPr>
          <w:rFonts w:hint="cs"/>
          <w:rtl/>
        </w:rPr>
        <w:t xml:space="preserve"> </w:t>
      </w:r>
    </w:p>
    <w:p w:rsidR="00026159" w:rsidRDefault="00026159" w:rsidP="00026159">
      <w:pPr>
        <w:rPr>
          <w:rtl/>
        </w:rPr>
      </w:pPr>
      <w:r>
        <w:rPr>
          <w:rFonts w:hint="cs"/>
          <w:rtl/>
        </w:rPr>
        <w:t>מוצע לקבוע מועד נדחה לבחירות, על אף האמור בסעיף 4 לחוק הרשויות המקומיות (בחירות), התשכ"ה-1965 ובסעיף 3 לחוק המועצות האזוריות (מועד בחירות כלליות), התשנ"ד-1994.</w:t>
      </w:r>
    </w:p>
    <w:p w:rsidR="00031960" w:rsidRDefault="00031960" w:rsidP="00722C14"/>
    <w:p w:rsidR="00026159" w:rsidRPr="004803DF" w:rsidRDefault="00026159" w:rsidP="00026159">
      <w:pPr>
        <w:rPr>
          <w:rtl/>
        </w:rPr>
      </w:pPr>
    </w:p>
    <w:p w:rsidR="00026159" w:rsidRDefault="00026159" w:rsidP="00E42891">
      <w:pPr>
        <w:pStyle w:val="4"/>
        <w:numPr>
          <w:ilvl w:val="0"/>
          <w:numId w:val="0"/>
        </w:numPr>
        <w:rPr>
          <w:rtl/>
        </w:rPr>
      </w:pPr>
      <w:bookmarkStart w:id="7" w:name="_Toc147921025"/>
      <w:r>
        <w:rPr>
          <w:rFonts w:hint="cs"/>
          <w:rtl/>
        </w:rPr>
        <w:t>להלן נוסח החוק המוצע ודברי הסבר</w:t>
      </w:r>
      <w:bookmarkEnd w:id="7"/>
    </w:p>
    <w:p w:rsidR="00026159" w:rsidRDefault="00026159" w:rsidP="00026159">
      <w:pPr>
        <w:rPr>
          <w:rtl/>
        </w:rPr>
      </w:pPr>
    </w:p>
    <w:p w:rsidR="00026159" w:rsidRDefault="00026159" w:rsidP="00722C14">
      <w:pPr>
        <w:rPr>
          <w:rtl/>
        </w:rPr>
      </w:pPr>
    </w:p>
    <w:p w:rsidR="00031960" w:rsidRDefault="00031960" w:rsidP="00722C14">
      <w:pPr>
        <w:bidi w:val="0"/>
        <w:rPr>
          <w:rFonts w:asciiTheme="minorHAnsi" w:hAnsiTheme="minorHAnsi"/>
        </w:rPr>
      </w:pPr>
      <w:r>
        <w:rPr>
          <w:rtl/>
        </w:rPr>
        <w:br w:type="page"/>
      </w:r>
    </w:p>
    <w:p w:rsidR="00E42891" w:rsidRDefault="00E42891" w:rsidP="00E42891">
      <w:pPr>
        <w:pStyle w:val="HeadHatzaotHok"/>
        <w:keepNext w:val="0"/>
        <w:keepLines w:val="0"/>
        <w:jc w:val="left"/>
        <w:rPr>
          <w:rtl/>
        </w:rPr>
      </w:pPr>
      <w:bookmarkStart w:id="8" w:name="_Toc147860961"/>
      <w:bookmarkStart w:id="9" w:name="_Toc147921026"/>
      <w:bookmarkStart w:id="10" w:name="_Toc503130994"/>
      <w:r>
        <w:rPr>
          <w:rFonts w:hint="cs"/>
          <w:rtl/>
        </w:rPr>
        <w:lastRenderedPageBreak/>
        <w:t>תזכיר חוק מטעם משרד הפנים:</w:t>
      </w:r>
      <w:bookmarkEnd w:id="8"/>
      <w:bookmarkEnd w:id="9"/>
    </w:p>
    <w:p w:rsidR="00031960" w:rsidRDefault="00E42891" w:rsidP="00026530">
      <w:pPr>
        <w:pStyle w:val="HeadHatzaotHok"/>
        <w:keepNext w:val="0"/>
        <w:keepLines w:val="0"/>
        <w:rPr>
          <w:rtl/>
        </w:rPr>
      </w:pPr>
      <w:bookmarkStart w:id="11" w:name="_Toc147860962"/>
      <w:bookmarkStart w:id="12" w:name="_Toc147921027"/>
      <w:r>
        <w:rPr>
          <w:rFonts w:hint="cs"/>
          <w:rtl/>
        </w:rPr>
        <w:t>תזכיר</w:t>
      </w:r>
      <w:r w:rsidR="00031960">
        <w:rPr>
          <w:rtl/>
        </w:rPr>
        <w:t xml:space="preserve"> חוק</w:t>
      </w:r>
      <w:r w:rsidR="00031960">
        <w:rPr>
          <w:rFonts w:hint="cs"/>
          <w:rtl/>
        </w:rPr>
        <w:t xml:space="preserve"> </w:t>
      </w:r>
      <w:r w:rsidR="00026159">
        <w:rPr>
          <w:rFonts w:hint="cs"/>
          <w:rtl/>
        </w:rPr>
        <w:t>ל</w:t>
      </w:r>
      <w:r w:rsidR="00D56F3A">
        <w:rPr>
          <w:rFonts w:hint="cs"/>
          <w:rtl/>
        </w:rPr>
        <w:t>דחיית הבחירות הכללי</w:t>
      </w:r>
      <w:r w:rsidR="00026159">
        <w:rPr>
          <w:rFonts w:hint="cs"/>
          <w:rtl/>
        </w:rPr>
        <w:t>ו</w:t>
      </w:r>
      <w:r w:rsidR="00D56F3A">
        <w:rPr>
          <w:rFonts w:hint="cs"/>
          <w:rtl/>
        </w:rPr>
        <w:t>ת לרשויות המקומיות והמועצות האזוריות</w:t>
      </w:r>
      <w:bookmarkEnd w:id="10"/>
      <w:r w:rsidR="00031960">
        <w:rPr>
          <w:rtl/>
        </w:rPr>
        <w:t xml:space="preserve">, </w:t>
      </w:r>
      <w:r w:rsidR="00031960">
        <w:rPr>
          <w:rFonts w:hint="cs"/>
          <w:rtl/>
        </w:rPr>
        <w:t>התשפ"ד</w:t>
      </w:r>
      <w:r w:rsidR="00026530" w:rsidRPr="00026530">
        <w:rPr>
          <w:rtl/>
        </w:rPr>
        <w:t>–</w:t>
      </w:r>
      <w:r w:rsidR="00031960">
        <w:rPr>
          <w:rFonts w:hint="cs"/>
          <w:rtl/>
        </w:rPr>
        <w:t>2023</w:t>
      </w:r>
      <w:bookmarkEnd w:id="11"/>
      <w:bookmarkEnd w:id="12"/>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031960" w:rsidTr="00D867AB">
        <w:trPr>
          <w:cantSplit/>
          <w:trHeight w:val="60"/>
        </w:trPr>
        <w:tc>
          <w:tcPr>
            <w:tcW w:w="1871" w:type="dxa"/>
          </w:tcPr>
          <w:p w:rsidR="00031960" w:rsidRDefault="00031960">
            <w:pPr>
              <w:pStyle w:val="TableSideHeading"/>
              <w:rPr>
                <w:rtl/>
              </w:rPr>
            </w:pPr>
          </w:p>
        </w:tc>
        <w:tc>
          <w:tcPr>
            <w:tcW w:w="624" w:type="dxa"/>
          </w:tcPr>
          <w:p w:rsidR="00031960" w:rsidRDefault="00031960">
            <w:pPr>
              <w:pStyle w:val="TableText"/>
            </w:pPr>
          </w:p>
        </w:tc>
        <w:tc>
          <w:tcPr>
            <w:tcW w:w="7146" w:type="dxa"/>
          </w:tcPr>
          <w:p w:rsidR="00031960" w:rsidRDefault="00031960">
            <w:pPr>
              <w:pStyle w:val="TableHead"/>
            </w:pPr>
          </w:p>
        </w:tc>
      </w:tr>
      <w:tr w:rsidR="00B21AAE" w:rsidTr="00D867AB">
        <w:trPr>
          <w:cantSplit/>
          <w:trHeight w:val="60"/>
        </w:trPr>
        <w:tc>
          <w:tcPr>
            <w:tcW w:w="1871" w:type="dxa"/>
          </w:tcPr>
          <w:p w:rsidR="00B21AAE" w:rsidRDefault="00B21AAE" w:rsidP="007E751D">
            <w:pPr>
              <w:pStyle w:val="TableSideHeading"/>
              <w:keepLines w:val="0"/>
            </w:pPr>
            <w:bookmarkStart w:id="13" w:name="_Toc147860963"/>
            <w:bookmarkStart w:id="14" w:name="_Toc147921028"/>
            <w:r>
              <w:rPr>
                <w:rFonts w:hint="cs"/>
                <w:rtl/>
              </w:rPr>
              <w:t>דחיית הבחירות</w:t>
            </w:r>
            <w:r w:rsidR="007E03A8">
              <w:rPr>
                <w:rFonts w:hint="cs"/>
                <w:rtl/>
              </w:rPr>
              <w:t xml:space="preserve"> הכלליות לרשויות המקומיות</w:t>
            </w:r>
            <w:bookmarkEnd w:id="13"/>
            <w:bookmarkEnd w:id="14"/>
          </w:p>
        </w:tc>
        <w:tc>
          <w:tcPr>
            <w:tcW w:w="624" w:type="dxa"/>
          </w:tcPr>
          <w:p w:rsidR="00B21AAE" w:rsidRDefault="00B21AAE" w:rsidP="00B21AAE">
            <w:pPr>
              <w:pStyle w:val="TableText"/>
              <w:keepLines w:val="0"/>
              <w:numPr>
                <w:ilvl w:val="0"/>
                <w:numId w:val="4"/>
              </w:numPr>
            </w:pPr>
          </w:p>
        </w:tc>
        <w:tc>
          <w:tcPr>
            <w:tcW w:w="7146" w:type="dxa"/>
          </w:tcPr>
          <w:p w:rsidR="00B21AAE" w:rsidRPr="00C34DE2" w:rsidRDefault="00B21AAE" w:rsidP="00D8754B">
            <w:pPr>
              <w:pStyle w:val="TableBlock"/>
            </w:pPr>
            <w:r>
              <w:rPr>
                <w:rFonts w:hint="cs"/>
                <w:rtl/>
              </w:rPr>
              <w:t xml:space="preserve">על אף האמור בסעיף </w:t>
            </w:r>
            <w:r w:rsidR="007E03A8">
              <w:rPr>
                <w:rFonts w:hint="cs"/>
                <w:rtl/>
              </w:rPr>
              <w:t>4</w:t>
            </w:r>
            <w:r>
              <w:rPr>
                <w:rFonts w:hint="cs"/>
                <w:rtl/>
              </w:rPr>
              <w:t xml:space="preserve"> לחוק הרשויות המקומיות (בחירות), התשכ"ה-1965</w:t>
            </w:r>
            <w:r w:rsidR="00E772C2">
              <w:rPr>
                <w:rStyle w:val="a7"/>
                <w:rtl/>
              </w:rPr>
              <w:footnoteReference w:id="1"/>
            </w:r>
            <w:r>
              <w:rPr>
                <w:rFonts w:hint="cs"/>
                <w:rtl/>
              </w:rPr>
              <w:t xml:space="preserve"> ובסעיף </w:t>
            </w:r>
            <w:r w:rsidR="00A9059F">
              <w:rPr>
                <w:rFonts w:hint="cs"/>
                <w:rtl/>
              </w:rPr>
              <w:t>3 לחוק המועצות האזוריות (מועד בחירות כלליות), התשנ"ד-1994</w:t>
            </w:r>
            <w:r w:rsidR="00C14AB2">
              <w:rPr>
                <w:rStyle w:val="a7"/>
                <w:rtl/>
              </w:rPr>
              <w:footnoteReference w:id="2"/>
            </w:r>
            <w:r w:rsidR="00A9059F">
              <w:rPr>
                <w:rFonts w:hint="cs"/>
                <w:rtl/>
              </w:rPr>
              <w:t xml:space="preserve">, הבחירות לפי הסעיפים האמורים </w:t>
            </w:r>
            <w:r>
              <w:rPr>
                <w:rFonts w:hint="cs"/>
                <w:rtl/>
              </w:rPr>
              <w:t xml:space="preserve">שנועדו ליום </w:t>
            </w:r>
            <w:r w:rsidR="00A9059F">
              <w:rPr>
                <w:rFonts w:hint="cs"/>
                <w:rtl/>
              </w:rPr>
              <w:t>ט"ז בחשוון התשפ"ד</w:t>
            </w:r>
            <w:r>
              <w:rPr>
                <w:rFonts w:hint="cs"/>
                <w:rtl/>
              </w:rPr>
              <w:t xml:space="preserve"> (31 באוקטובר 2023) נדחות, והן יתקיימו ביום </w:t>
            </w:r>
            <w:r w:rsidR="00D8754B">
              <w:rPr>
                <w:rFonts w:hint="cs"/>
                <w:rtl/>
              </w:rPr>
              <w:t xml:space="preserve">כ' בשבט </w:t>
            </w:r>
            <w:r w:rsidR="00A9059F">
              <w:rPr>
                <w:rFonts w:hint="cs"/>
                <w:rtl/>
              </w:rPr>
              <w:t xml:space="preserve">התשפ"ד </w:t>
            </w:r>
            <w:r>
              <w:rPr>
                <w:rFonts w:hint="cs"/>
                <w:rtl/>
              </w:rPr>
              <w:t>(</w:t>
            </w:r>
            <w:r w:rsidR="00D8754B">
              <w:rPr>
                <w:rFonts w:hint="cs"/>
                <w:rtl/>
              </w:rPr>
              <w:t>30</w:t>
            </w:r>
            <w:r w:rsidR="00A9059F">
              <w:rPr>
                <w:rFonts w:hint="cs"/>
                <w:rtl/>
              </w:rPr>
              <w:t xml:space="preserve"> </w:t>
            </w:r>
            <w:r w:rsidR="00C64566">
              <w:rPr>
                <w:rFonts w:hint="cs"/>
                <w:rtl/>
              </w:rPr>
              <w:t>ב</w:t>
            </w:r>
            <w:r w:rsidR="00D8754B">
              <w:rPr>
                <w:rFonts w:hint="cs"/>
                <w:rtl/>
              </w:rPr>
              <w:t>ינואר</w:t>
            </w:r>
            <w:r w:rsidR="00A9059F">
              <w:rPr>
                <w:rFonts w:hint="cs"/>
                <w:rtl/>
              </w:rPr>
              <w:t xml:space="preserve"> 2024</w:t>
            </w:r>
            <w:r>
              <w:rPr>
                <w:rFonts w:hint="cs"/>
                <w:rtl/>
              </w:rPr>
              <w:t>).</w:t>
            </w:r>
          </w:p>
        </w:tc>
      </w:tr>
      <w:tr w:rsidR="008275D2" w:rsidTr="00D867AB">
        <w:trPr>
          <w:cantSplit/>
          <w:trHeight w:val="60"/>
        </w:trPr>
        <w:tc>
          <w:tcPr>
            <w:tcW w:w="1871" w:type="dxa"/>
          </w:tcPr>
          <w:p w:rsidR="008275D2" w:rsidRDefault="008275D2" w:rsidP="007E751D">
            <w:pPr>
              <w:pStyle w:val="TableSideHeading"/>
              <w:keepLines w:val="0"/>
            </w:pPr>
            <w:bookmarkStart w:id="15" w:name="_Toc147860964"/>
            <w:bookmarkStart w:id="16" w:name="_Toc147921029"/>
            <w:r>
              <w:rPr>
                <w:rFonts w:hint="cs"/>
                <w:rtl/>
              </w:rPr>
              <w:t>שמירת פעולות ומועדים</w:t>
            </w:r>
            <w:bookmarkEnd w:id="15"/>
            <w:bookmarkEnd w:id="16"/>
          </w:p>
        </w:tc>
        <w:tc>
          <w:tcPr>
            <w:tcW w:w="624" w:type="dxa"/>
          </w:tcPr>
          <w:p w:rsidR="008275D2" w:rsidRDefault="008275D2" w:rsidP="008275D2">
            <w:pPr>
              <w:pStyle w:val="TableText"/>
              <w:keepLines w:val="0"/>
              <w:numPr>
                <w:ilvl w:val="0"/>
                <w:numId w:val="4"/>
              </w:numPr>
            </w:pPr>
          </w:p>
        </w:tc>
        <w:tc>
          <w:tcPr>
            <w:tcW w:w="7146" w:type="dxa"/>
          </w:tcPr>
          <w:p w:rsidR="003C046F" w:rsidRDefault="008275D2" w:rsidP="003C046F">
            <w:pPr>
              <w:pStyle w:val="TableBlock"/>
              <w:numPr>
                <w:ilvl w:val="0"/>
                <w:numId w:val="23"/>
              </w:numPr>
              <w:tabs>
                <w:tab w:val="left" w:pos="624"/>
              </w:tabs>
            </w:pPr>
            <w:r>
              <w:rPr>
                <w:rFonts w:hint="cs"/>
                <w:rtl/>
              </w:rPr>
              <w:t>כל פעולה שנעשתה כדין</w:t>
            </w:r>
            <w:r w:rsidR="00A9059F">
              <w:rPr>
                <w:rFonts w:hint="cs"/>
                <w:rtl/>
              </w:rPr>
              <w:t xml:space="preserve"> </w:t>
            </w:r>
            <w:r>
              <w:rPr>
                <w:rFonts w:hint="cs"/>
                <w:rtl/>
              </w:rPr>
              <w:t xml:space="preserve">ובמועדה </w:t>
            </w:r>
            <w:r w:rsidR="00A9059F">
              <w:rPr>
                <w:rFonts w:hint="cs"/>
                <w:rtl/>
              </w:rPr>
              <w:t xml:space="preserve">לפי חיקוק </w:t>
            </w:r>
            <w:r>
              <w:rPr>
                <w:rFonts w:hint="cs"/>
                <w:rtl/>
              </w:rPr>
              <w:t xml:space="preserve">לקראת הבחירות שנועדו ליום </w:t>
            </w:r>
            <w:r w:rsidR="00A9059F">
              <w:rPr>
                <w:rFonts w:hint="cs"/>
                <w:rtl/>
              </w:rPr>
              <w:t>ט"ז בחשוון התשפ"ד (31 באוקטובר 2023)</w:t>
            </w:r>
            <w:r>
              <w:rPr>
                <w:rFonts w:hint="cs"/>
                <w:rtl/>
              </w:rPr>
              <w:t xml:space="preserve"> לפני תחילת חוק זה, תעמוד בת</w:t>
            </w:r>
            <w:r w:rsidR="00346B7B">
              <w:rPr>
                <w:rFonts w:hint="cs"/>
                <w:rtl/>
              </w:rPr>
              <w:t>ו</w:t>
            </w:r>
            <w:r>
              <w:rPr>
                <w:rFonts w:hint="cs"/>
                <w:rtl/>
              </w:rPr>
              <w:t>קפה</w:t>
            </w:r>
            <w:r w:rsidR="003C046F">
              <w:rPr>
                <w:rFonts w:hint="cs"/>
                <w:rtl/>
              </w:rPr>
              <w:t>.</w:t>
            </w:r>
          </w:p>
          <w:p w:rsidR="008275D2" w:rsidRPr="00C34DE2" w:rsidRDefault="003C046F" w:rsidP="003C046F">
            <w:pPr>
              <w:pStyle w:val="TableBlock"/>
              <w:numPr>
                <w:ilvl w:val="0"/>
                <w:numId w:val="23"/>
              </w:numPr>
              <w:tabs>
                <w:tab w:val="left" w:pos="624"/>
              </w:tabs>
            </w:pPr>
            <w:r>
              <w:rPr>
                <w:rFonts w:hint="cs"/>
                <w:rtl/>
              </w:rPr>
              <w:t xml:space="preserve">פעולה שנקבע מועד לעשייתה לפי חיקוק לקראת הבחירות האמורות והמועד חלף לפני תחילת חוק זה, </w:t>
            </w:r>
            <w:r w:rsidR="00D867AB">
              <w:rPr>
                <w:rFonts w:hint="cs"/>
                <w:rtl/>
              </w:rPr>
              <w:t>אין בהוראות סעיף 1 כדי לקבוע לה מועד חדש</w:t>
            </w:r>
            <w:r w:rsidR="008275D2">
              <w:rPr>
                <w:rFonts w:hint="cs"/>
                <w:rtl/>
              </w:rPr>
              <w:t>.</w:t>
            </w:r>
          </w:p>
        </w:tc>
      </w:tr>
      <w:tr w:rsidR="00E772C2">
        <w:trPr>
          <w:cantSplit/>
          <w:trHeight w:val="60"/>
        </w:trPr>
        <w:tc>
          <w:tcPr>
            <w:tcW w:w="1871" w:type="dxa"/>
          </w:tcPr>
          <w:p w:rsidR="00E772C2" w:rsidRPr="00E772C2" w:rsidRDefault="00E772C2" w:rsidP="007E751D">
            <w:pPr>
              <w:pStyle w:val="TableSideHeading"/>
              <w:keepLines w:val="0"/>
            </w:pPr>
            <w:bookmarkStart w:id="17" w:name="_Toc147921030"/>
            <w:bookmarkStart w:id="18" w:name="_Toc147860965"/>
            <w:r>
              <w:rPr>
                <w:rFonts w:hint="cs"/>
                <w:rtl/>
              </w:rPr>
              <w:t>תחילה</w:t>
            </w:r>
            <w:bookmarkEnd w:id="17"/>
          </w:p>
        </w:tc>
        <w:tc>
          <w:tcPr>
            <w:tcW w:w="624" w:type="dxa"/>
          </w:tcPr>
          <w:p w:rsidR="00E772C2" w:rsidRDefault="00E772C2" w:rsidP="00E772C2">
            <w:pPr>
              <w:pStyle w:val="TableText"/>
              <w:keepLines w:val="0"/>
              <w:numPr>
                <w:ilvl w:val="0"/>
                <w:numId w:val="4"/>
              </w:numPr>
            </w:pPr>
          </w:p>
        </w:tc>
        <w:tc>
          <w:tcPr>
            <w:tcW w:w="7146" w:type="dxa"/>
          </w:tcPr>
          <w:p w:rsidR="00E772C2" w:rsidRPr="00C34DE2" w:rsidRDefault="00E772C2" w:rsidP="007E751D">
            <w:pPr>
              <w:pStyle w:val="TableBlock"/>
              <w:keepLines w:val="0"/>
            </w:pPr>
            <w:r>
              <w:rPr>
                <w:rFonts w:hint="cs"/>
                <w:rtl/>
              </w:rPr>
              <w:t>תחילתו של חוק זה ביום קבלתו בכנסת.</w:t>
            </w:r>
          </w:p>
        </w:tc>
      </w:tr>
    </w:tbl>
    <w:p w:rsidR="00031960" w:rsidRDefault="00031960" w:rsidP="00722C14">
      <w:pPr>
        <w:pStyle w:val="HeadDivreiHesber"/>
        <w:rPr>
          <w:rtl/>
        </w:rPr>
      </w:pPr>
      <w:bookmarkStart w:id="19" w:name="_Toc147921031"/>
      <w:r>
        <w:rPr>
          <w:rtl/>
        </w:rPr>
        <w:t>דברי הסבר</w:t>
      </w:r>
      <w:bookmarkEnd w:id="18"/>
      <w:bookmarkEnd w:id="19"/>
    </w:p>
    <w:p w:rsidR="00031960" w:rsidRDefault="00031960" w:rsidP="00722C14">
      <w:pPr>
        <w:pStyle w:val="Hesber1st"/>
        <w:rPr>
          <w:rtl/>
        </w:rPr>
      </w:pPr>
    </w:p>
    <w:p w:rsidR="00D31DFE" w:rsidRDefault="00D31DFE">
      <w:pPr>
        <w:rPr>
          <w:rtl/>
        </w:rPr>
      </w:pPr>
      <w:r>
        <w:rPr>
          <w:rFonts w:hint="cs"/>
          <w:rtl/>
        </w:rPr>
        <w:t>הבחירות הכלליות לרשויות המקומיות צפויות להיערך ביום ט"ז בחשוון התשפ"ד, 31 באוקטובר 2023.</w:t>
      </w:r>
      <w:r w:rsidR="001B5827">
        <w:rPr>
          <w:rFonts w:hint="cs"/>
          <w:rtl/>
        </w:rPr>
        <w:t xml:space="preserve"> מדובר בבחירות למועצות ולראשות העיריות, המועצות המקומיות והמועצות האזוריות ולוועדים המקומיים.</w:t>
      </w:r>
    </w:p>
    <w:p w:rsidR="00C77CA3" w:rsidRDefault="00C77CA3">
      <w:pPr>
        <w:rPr>
          <w:rtl/>
        </w:rPr>
      </w:pPr>
    </w:p>
    <w:p w:rsidR="009933D4" w:rsidRDefault="009D2644" w:rsidP="00C77CA3">
      <w:pPr>
        <w:rPr>
          <w:rtl/>
        </w:rPr>
      </w:pPr>
      <w:r>
        <w:rPr>
          <w:rFonts w:hint="cs"/>
          <w:rtl/>
        </w:rPr>
        <w:t>על רקע מצב המלחמה</w:t>
      </w:r>
      <w:r w:rsidR="00D31DFE">
        <w:rPr>
          <w:rFonts w:hint="cs"/>
          <w:rtl/>
        </w:rPr>
        <w:t xml:space="preserve"> בו מצויה מדינת ישראל</w:t>
      </w:r>
      <w:r>
        <w:rPr>
          <w:rFonts w:hint="cs"/>
          <w:rtl/>
        </w:rPr>
        <w:t xml:space="preserve">, </w:t>
      </w:r>
      <w:r w:rsidR="00C77CA3">
        <w:rPr>
          <w:rFonts w:hint="cs"/>
          <w:rtl/>
        </w:rPr>
        <w:t xml:space="preserve">והקשיים בקיום מערכת בחירות במהלך התקופה האמורה, </w:t>
      </w:r>
      <w:r w:rsidR="00376C67">
        <w:rPr>
          <w:rFonts w:hint="cs"/>
          <w:rtl/>
        </w:rPr>
        <w:t>מוצע לדחות את מועד הבחירות.</w:t>
      </w:r>
    </w:p>
    <w:p w:rsidR="00D31DFE" w:rsidRDefault="00D31DFE">
      <w:pPr>
        <w:rPr>
          <w:rtl/>
        </w:rPr>
      </w:pPr>
    </w:p>
    <w:p w:rsidR="00E772C2" w:rsidRDefault="00376C67" w:rsidP="00376C67">
      <w:pPr>
        <w:rPr>
          <w:rtl/>
        </w:rPr>
      </w:pPr>
      <w:r>
        <w:rPr>
          <w:rFonts w:hint="cs"/>
          <w:rtl/>
        </w:rPr>
        <w:t xml:space="preserve">על הקשיים שבקיום בחירות בעת מלחמה, ראו בג"ץ 360/09 רכס נ' שר הפנים, פס' 18: </w:t>
      </w:r>
    </w:p>
    <w:p w:rsidR="00C77CA3" w:rsidRDefault="00D31DFE" w:rsidP="00E772C2">
      <w:pPr>
        <w:ind w:left="720"/>
        <w:rPr>
          <w:rtl/>
        </w:rPr>
      </w:pPr>
      <w:r>
        <w:rPr>
          <w:rFonts w:hint="cs"/>
          <w:rtl/>
        </w:rPr>
        <w:t>"</w:t>
      </w:r>
      <w:r>
        <w:rPr>
          <w:rtl/>
        </w:rPr>
        <w:t xml:space="preserve">עיתות של מלחמה או מבצע צבאי רב-מימדים עשויים, בתנאים מסוימים, לשמש עילה מוצדקת לדחיית מועד בחירות - בין כלליות ובין מקומיות. קיום מצב חירום, שבו חלק משמעותי מן העם מגוייס לצבא, והחלק האחר בעורף נתון לאימת מתקפות האויב, עלול לגרום למצב שבו יקשה לקיים הליך בחירות דמוקרטי אשר ישיג את עיקרי תכליותיו. בגדר קושי זה, ייתכן מצב שבו הבוחר לא יוכל להגשים במלואה את זכותו לבחור, למשל מן הטעם שהגישה לקלפיות תהא כרוכה בסיכון חיים שבגללו בוחרים רבים יעדיפו שלא להצביע ולא להעמיד את חייהם בסכנה. ייתכן אף מצב שבו המגוייסים לצבא לא יוכלו להגשים הלכה למעשה את זכותם להצביע בשל מעורבותם במבצע הצבאי, ובשל ריחוק מקום הקלפיות שאינו בר-השגה מבחינתם. אשר למתמודדים לבחירה - מצב חירום צבאי עלול לפגוע ביכולתם לנהל מערכת בחירות ולהציג </w:t>
      </w:r>
      <w:r>
        <w:rPr>
          <w:rtl/>
        </w:rPr>
        <w:lastRenderedPageBreak/>
        <w:t>בפני הבוחרים את מצעם הפוליטי. כאשר מערכות התקשורת, הדואר ושאר המערכות הציבוריות אינן פועלות כבדרך שגרה, ומגוייסות למטרות ביטחון בלבד, קשה למתמודדים בבחירות לפעול בציבור ולנהל מסע בחירות תוך חשיפת המצע הפוליטי שהם רוצים לקדם. ככלל, תקופת מלחמה או מבצע מלחמתי רב-היקף עלולות, בתנאים מסוימים, לשבש את חיי השגרה במידה כזו שלא תאפשר את מימוש הזכות לבחור ולהיבחר בדרך סבירה. זכות זו עלולה להיפגע פגיעה מהותית, ועימה עלול להיפגע ההליך הדמוקרטי עצמו</w:t>
      </w:r>
      <w:r>
        <w:rPr>
          <w:rFonts w:hint="cs"/>
          <w:rtl/>
        </w:rPr>
        <w:t>"</w:t>
      </w:r>
      <w:r>
        <w:rPr>
          <w:rtl/>
        </w:rPr>
        <w:t>.</w:t>
      </w:r>
      <w:r w:rsidR="00376C67">
        <w:rPr>
          <w:rFonts w:hint="cs"/>
          <w:rtl/>
        </w:rPr>
        <w:t xml:space="preserve"> </w:t>
      </w:r>
    </w:p>
    <w:p w:rsidR="00C77CA3" w:rsidRDefault="00C77CA3" w:rsidP="00376C67">
      <w:pPr>
        <w:rPr>
          <w:rtl/>
        </w:rPr>
      </w:pPr>
    </w:p>
    <w:p w:rsidR="00D31DFE" w:rsidRDefault="00C77CA3" w:rsidP="00E42891">
      <w:pPr>
        <w:rPr>
          <w:rtl/>
        </w:rPr>
      </w:pPr>
      <w:r>
        <w:rPr>
          <w:rFonts w:hint="cs"/>
          <w:rtl/>
        </w:rPr>
        <w:t xml:space="preserve">נוסיף ונציין מעבר </w:t>
      </w:r>
      <w:r w:rsidR="00376C67">
        <w:rPr>
          <w:rFonts w:hint="cs"/>
          <w:rtl/>
        </w:rPr>
        <w:t xml:space="preserve">לשיקולים אלה, </w:t>
      </w:r>
      <w:r w:rsidR="00E42891">
        <w:rPr>
          <w:rFonts w:hint="cs"/>
          <w:rtl/>
        </w:rPr>
        <w:t>את</w:t>
      </w:r>
      <w:r>
        <w:rPr>
          <w:rFonts w:hint="cs"/>
          <w:rtl/>
        </w:rPr>
        <w:t xml:space="preserve"> הקשיים המעשיים והטכניים הנוגעים לביצוע ולהבטחת קיום מערכת בחירות סדורה בעת מלחמה</w:t>
      </w:r>
      <w:r w:rsidR="00376C67">
        <w:rPr>
          <w:rFonts w:hint="cs"/>
          <w:rtl/>
        </w:rPr>
        <w:t>.</w:t>
      </w:r>
    </w:p>
    <w:p w:rsidR="001B5827" w:rsidRDefault="001B5827" w:rsidP="00376C67">
      <w:pPr>
        <w:rPr>
          <w:rtl/>
        </w:rPr>
      </w:pPr>
    </w:p>
    <w:p w:rsidR="001B5827" w:rsidRDefault="00C77CA3" w:rsidP="00D8754B">
      <w:pPr>
        <w:rPr>
          <w:rtl/>
        </w:rPr>
      </w:pPr>
      <w:r>
        <w:rPr>
          <w:rFonts w:hint="cs"/>
          <w:rtl/>
        </w:rPr>
        <w:t xml:space="preserve">אשר  על כן, </w:t>
      </w:r>
      <w:r w:rsidR="001B5827">
        <w:rPr>
          <w:rFonts w:hint="cs"/>
          <w:rtl/>
        </w:rPr>
        <w:t xml:space="preserve">מוצע לדחות את הבחירות </w:t>
      </w:r>
      <w:r w:rsidR="00D8754B">
        <w:rPr>
          <w:rFonts w:hint="cs"/>
          <w:rtl/>
        </w:rPr>
        <w:t>בכשלושה</w:t>
      </w:r>
      <w:r>
        <w:rPr>
          <w:rFonts w:hint="cs"/>
          <w:rtl/>
        </w:rPr>
        <w:t xml:space="preserve"> </w:t>
      </w:r>
      <w:r w:rsidR="001B5827">
        <w:rPr>
          <w:rFonts w:hint="cs"/>
          <w:rtl/>
        </w:rPr>
        <w:t xml:space="preserve">חודשים, מיום ט"ז בחשוון התשפ"ד (31 באוקטובר 2023) ליום </w:t>
      </w:r>
      <w:r w:rsidR="00D8754B">
        <w:rPr>
          <w:rFonts w:hint="cs"/>
          <w:rtl/>
        </w:rPr>
        <w:t xml:space="preserve">כ' בשבט </w:t>
      </w:r>
      <w:r w:rsidR="00E42891">
        <w:rPr>
          <w:rFonts w:hint="cs"/>
          <w:rtl/>
        </w:rPr>
        <w:t>התשפ"ד (</w:t>
      </w:r>
      <w:r w:rsidR="00D8754B">
        <w:rPr>
          <w:rFonts w:hint="cs"/>
          <w:rtl/>
        </w:rPr>
        <w:t>30 בינואר</w:t>
      </w:r>
      <w:r w:rsidR="00E42891">
        <w:rPr>
          <w:rFonts w:hint="cs"/>
          <w:rtl/>
        </w:rPr>
        <w:t xml:space="preserve"> 2024)</w:t>
      </w:r>
      <w:r w:rsidR="001B5827">
        <w:rPr>
          <w:rFonts w:hint="cs"/>
          <w:rtl/>
        </w:rPr>
        <w:t>.</w:t>
      </w:r>
    </w:p>
    <w:p w:rsidR="001B5827" w:rsidRDefault="001B5827" w:rsidP="00376C67">
      <w:pPr>
        <w:rPr>
          <w:rtl/>
        </w:rPr>
      </w:pPr>
    </w:p>
    <w:p w:rsidR="001B5827" w:rsidRDefault="001B5827" w:rsidP="00C77CA3">
      <w:pPr>
        <w:rPr>
          <w:rtl/>
        </w:rPr>
      </w:pPr>
      <w:r>
        <w:rPr>
          <w:rFonts w:hint="cs"/>
          <w:rtl/>
        </w:rPr>
        <w:t xml:space="preserve">הליך הבחירות מצוי בעיצומו: מרבית הפעולות לקראת הבחירות כבר בוצעו ומרבית המועדים שנקבעו בחיקוקים השונים לקראת הבחירות חלפו </w:t>
      </w:r>
      <w:r>
        <w:rPr>
          <w:rtl/>
        </w:rPr>
        <w:t>–</w:t>
      </w:r>
      <w:r>
        <w:rPr>
          <w:rFonts w:hint="cs"/>
          <w:rtl/>
        </w:rPr>
        <w:t xml:space="preserve"> לרבות שליפת פנקס הבוחרים וכניסתו לתוקף,</w:t>
      </w:r>
      <w:r w:rsidR="00166185">
        <w:rPr>
          <w:rFonts w:hint="cs"/>
          <w:rtl/>
        </w:rPr>
        <w:t xml:space="preserve"> הגשת הרשימות ואישורן וכו'</w:t>
      </w:r>
      <w:r>
        <w:rPr>
          <w:rFonts w:hint="cs"/>
          <w:rtl/>
        </w:rPr>
        <w:t>. המועדים נגזרים מיום הבחירות, ועל כן שינוי מועד יום הבחירות עשוי לעורר שאלה בנוגע למועדים שחלפו לפי יום הבחירות המקורי אך טרם חלפו לפי יום הבחירות החדש</w:t>
      </w:r>
      <w:r w:rsidR="00C77CA3">
        <w:rPr>
          <w:rFonts w:hint="cs"/>
          <w:rtl/>
        </w:rPr>
        <w:t xml:space="preserve"> ובכל הנוגע לצורך לשוב ולקי</w:t>
      </w:r>
      <w:r w:rsidR="00E42891">
        <w:rPr>
          <w:rFonts w:hint="cs"/>
          <w:rtl/>
        </w:rPr>
        <w:t>י</w:t>
      </w:r>
      <w:r w:rsidR="00C77CA3">
        <w:rPr>
          <w:rFonts w:hint="cs"/>
          <w:rtl/>
        </w:rPr>
        <w:t>ם הליכים אלו.</w:t>
      </w:r>
    </w:p>
    <w:p w:rsidR="00C77CA3" w:rsidRDefault="00C77CA3" w:rsidP="00166185">
      <w:pPr>
        <w:rPr>
          <w:rtl/>
        </w:rPr>
      </w:pPr>
    </w:p>
    <w:p w:rsidR="001B5827" w:rsidRDefault="001B5827" w:rsidP="00376C67">
      <w:pPr>
        <w:rPr>
          <w:rtl/>
        </w:rPr>
      </w:pPr>
      <w:r>
        <w:rPr>
          <w:rFonts w:hint="cs"/>
          <w:rtl/>
        </w:rPr>
        <w:t>לכן, מוצע להבהיר ולקבוע כי אין צורך לחזור שוב על פעולות שכבר בוצעו לקראת מועד הבחירות המקורי, וכל</w:t>
      </w:r>
      <w:r w:rsidR="00346B7B">
        <w:rPr>
          <w:rFonts w:hint="cs"/>
          <w:rtl/>
        </w:rPr>
        <w:t xml:space="preserve"> </w:t>
      </w:r>
      <w:r>
        <w:rPr>
          <w:rFonts w:hint="cs"/>
          <w:rtl/>
        </w:rPr>
        <w:t xml:space="preserve"> פעולה שנעשתה כדין </w:t>
      </w:r>
      <w:r w:rsidR="00346B7B">
        <w:rPr>
          <w:rFonts w:hint="cs"/>
          <w:rtl/>
        </w:rPr>
        <w:t xml:space="preserve">ובמועדה לפי חיקוק לקראת יום הבחירות המקורי, לפני תחילת חוק זה, תעמוד בתוקפה. כל מועד שחלף לפני תחילת החוק </w:t>
      </w:r>
      <w:r w:rsidR="00346B7B">
        <w:rPr>
          <w:rtl/>
        </w:rPr>
        <w:t>–</w:t>
      </w:r>
      <w:r w:rsidR="00346B7B">
        <w:rPr>
          <w:rFonts w:hint="cs"/>
          <w:rtl/>
        </w:rPr>
        <w:t xml:space="preserve"> יוותר במועדו המקורי (כלומר, ביחס ליום הבחירות המקורי) ורק מועד שטרם הגיע יחושב לפי מועד יום הבחירות החדש.</w:t>
      </w:r>
    </w:p>
    <w:p w:rsidR="009D7670" w:rsidRDefault="009D7670" w:rsidP="00376C67">
      <w:pPr>
        <w:rPr>
          <w:rtl/>
        </w:rPr>
      </w:pPr>
    </w:p>
    <w:p w:rsidR="009D7670" w:rsidRDefault="009D7670" w:rsidP="00376C67">
      <w:pPr>
        <w:rPr>
          <w:rtl/>
        </w:rPr>
      </w:pPr>
      <w:r>
        <w:rPr>
          <w:rFonts w:hint="cs"/>
          <w:rtl/>
        </w:rPr>
        <w:t>בשל הדחיפות, מוצע לקבוע כי תחילת החוק תהיה ביום קבלתו בכנסת ולא ביום פרסומו ברשומות.</w:t>
      </w:r>
    </w:p>
    <w:p w:rsidR="00026530" w:rsidRDefault="00026530" w:rsidP="00376C67">
      <w:pPr>
        <w:rPr>
          <w:rtl/>
        </w:rPr>
      </w:pPr>
    </w:p>
    <w:p w:rsidR="00E772C2" w:rsidRDefault="00E772C2" w:rsidP="00376C67">
      <w:pPr>
        <w:rPr>
          <w:rtl/>
        </w:rPr>
      </w:pPr>
      <w:r>
        <w:rPr>
          <w:rFonts w:hint="cs"/>
          <w:rtl/>
        </w:rPr>
        <w:t>יובהר כי אין בהצעה כדי לגרוע מסמכות שר הפנים לדחיית מועד הבחירות לפי סעיף 5 לחוק הרשויות המקומיות (בחירות), התשכ"ה-1965 וסעיף 4 לחוק המועצות האזוריות (מועד בחירות כלליות), התשנ"ד-1994.</w:t>
      </w:r>
    </w:p>
    <w:p w:rsidR="00026530" w:rsidRDefault="00026530" w:rsidP="00376C67">
      <w:pPr>
        <w:rPr>
          <w:rtl/>
        </w:rPr>
      </w:pPr>
    </w:p>
    <w:p w:rsidR="00026530" w:rsidRDefault="00026530" w:rsidP="00376C67">
      <w:pPr>
        <w:rPr>
          <w:rtl/>
        </w:rPr>
      </w:pPr>
    </w:p>
    <w:p w:rsidR="00026530" w:rsidRDefault="00026530" w:rsidP="00376C67">
      <w:pPr>
        <w:rPr>
          <w:rtl/>
        </w:rPr>
      </w:pPr>
    </w:p>
    <w:sectPr w:rsidR="00026530" w:rsidSect="00031960">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C2" w:rsidRDefault="00E772C2" w:rsidP="00E772C2">
      <w:pPr>
        <w:spacing w:line="240" w:lineRule="auto"/>
      </w:pPr>
      <w:r>
        <w:separator/>
      </w:r>
    </w:p>
  </w:endnote>
  <w:endnote w:type="continuationSeparator" w:id="0">
    <w:p w:rsidR="00E772C2" w:rsidRDefault="00E772C2" w:rsidP="00E7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C2" w:rsidRDefault="00E772C2" w:rsidP="00C14AB2">
      <w:pPr>
        <w:spacing w:line="240" w:lineRule="auto"/>
        <w:ind w:left="0"/>
      </w:pPr>
      <w:r>
        <w:separator/>
      </w:r>
    </w:p>
  </w:footnote>
  <w:footnote w:type="continuationSeparator" w:id="0">
    <w:p w:rsidR="00E772C2" w:rsidRDefault="00E772C2" w:rsidP="00E772C2">
      <w:pPr>
        <w:spacing w:line="240" w:lineRule="auto"/>
      </w:pPr>
      <w:r>
        <w:continuationSeparator/>
      </w:r>
    </w:p>
  </w:footnote>
  <w:footnote w:id="1">
    <w:p w:rsidR="00E772C2" w:rsidRDefault="00E772C2">
      <w:pPr>
        <w:pStyle w:val="a5"/>
        <w:rPr>
          <w:rtl/>
        </w:rPr>
      </w:pPr>
      <w:r>
        <w:rPr>
          <w:rStyle w:val="a7"/>
        </w:rPr>
        <w:footnoteRef/>
      </w:r>
      <w:r>
        <w:rPr>
          <w:rtl/>
        </w:rPr>
        <w:t xml:space="preserve"> </w:t>
      </w:r>
      <w:r>
        <w:rPr>
          <w:rFonts w:hint="cs"/>
          <w:rtl/>
        </w:rPr>
        <w:t>ס"ח התשכ"ה, עמ' 248.</w:t>
      </w:r>
    </w:p>
  </w:footnote>
  <w:footnote w:id="2">
    <w:p w:rsidR="00C14AB2" w:rsidRDefault="00C14AB2">
      <w:pPr>
        <w:pStyle w:val="a5"/>
        <w:rPr>
          <w:rtl/>
        </w:rPr>
      </w:pPr>
      <w:r>
        <w:rPr>
          <w:rStyle w:val="a7"/>
        </w:rPr>
        <w:footnoteRef/>
      </w:r>
      <w:r>
        <w:rPr>
          <w:rtl/>
        </w:rPr>
        <w:t xml:space="preserve"> </w:t>
      </w:r>
      <w:r>
        <w:rPr>
          <w:rFonts w:hint="cs"/>
          <w:rtl/>
        </w:rPr>
        <w:t>ס"ח התשנ"ד, עמ' 248.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B541F4"/>
    <w:multiLevelType w:val="hybridMultilevel"/>
    <w:tmpl w:val="BF6E839E"/>
    <w:lvl w:ilvl="0" w:tplc="B53A123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00E56"/>
    <w:multiLevelType w:val="hybridMultilevel"/>
    <w:tmpl w:val="6FBE5D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5194510"/>
    <w:multiLevelType w:val="hybridMultilevel"/>
    <w:tmpl w:val="97C4BC66"/>
    <w:lvl w:ilvl="0" w:tplc="806085C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069E7"/>
    <w:multiLevelType w:val="hybridMultilevel"/>
    <w:tmpl w:val="24BC8C7A"/>
    <w:lvl w:ilvl="0" w:tplc="E55A357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429C5"/>
    <w:multiLevelType w:val="hybridMultilevel"/>
    <w:tmpl w:val="C90AFEE2"/>
    <w:lvl w:ilvl="0" w:tplc="2CAC411A">
      <w:start w:val="1"/>
      <w:numFmt w:val="decimal"/>
      <w:lvlText w:val="%1."/>
      <w:lvlJc w:val="left"/>
      <w:pPr>
        <w:ind w:left="720" w:hanging="360"/>
      </w:pPr>
    </w:lvl>
    <w:lvl w:ilvl="1" w:tplc="F5A094FA">
      <w:start w:val="1"/>
      <w:numFmt w:val="lowerLetter"/>
      <w:lvlText w:val="%2."/>
      <w:lvlJc w:val="left"/>
      <w:pPr>
        <w:ind w:left="1440" w:hanging="360"/>
      </w:pPr>
    </w:lvl>
    <w:lvl w:ilvl="2" w:tplc="B6EC00DE">
      <w:start w:val="1"/>
      <w:numFmt w:val="lowerRoman"/>
      <w:lvlText w:val="%3."/>
      <w:lvlJc w:val="right"/>
      <w:pPr>
        <w:ind w:left="2160" w:hanging="180"/>
      </w:pPr>
    </w:lvl>
    <w:lvl w:ilvl="3" w:tplc="C116112A">
      <w:start w:val="1"/>
      <w:numFmt w:val="decimal"/>
      <w:lvlText w:val="%4."/>
      <w:lvlJc w:val="left"/>
      <w:pPr>
        <w:ind w:left="2880" w:hanging="360"/>
      </w:pPr>
    </w:lvl>
    <w:lvl w:ilvl="4" w:tplc="E10E8994">
      <w:start w:val="1"/>
      <w:numFmt w:val="lowerLetter"/>
      <w:lvlText w:val="%5."/>
      <w:lvlJc w:val="left"/>
      <w:pPr>
        <w:ind w:left="3600" w:hanging="360"/>
      </w:pPr>
    </w:lvl>
    <w:lvl w:ilvl="5" w:tplc="83A83B08">
      <w:start w:val="1"/>
      <w:numFmt w:val="lowerRoman"/>
      <w:lvlText w:val="%6."/>
      <w:lvlJc w:val="right"/>
      <w:pPr>
        <w:ind w:left="4320" w:hanging="180"/>
      </w:pPr>
    </w:lvl>
    <w:lvl w:ilvl="6" w:tplc="F3B897D4">
      <w:start w:val="1"/>
      <w:numFmt w:val="decimal"/>
      <w:lvlText w:val="%7."/>
      <w:lvlJc w:val="left"/>
      <w:pPr>
        <w:ind w:left="5040" w:hanging="360"/>
      </w:pPr>
    </w:lvl>
    <w:lvl w:ilvl="7" w:tplc="323A4548">
      <w:start w:val="1"/>
      <w:numFmt w:val="lowerLetter"/>
      <w:lvlText w:val="%8."/>
      <w:lvlJc w:val="left"/>
      <w:pPr>
        <w:ind w:left="5760" w:hanging="360"/>
      </w:pPr>
    </w:lvl>
    <w:lvl w:ilvl="8" w:tplc="343AF650">
      <w:start w:val="1"/>
      <w:numFmt w:val="lowerRoman"/>
      <w:lvlText w:val="%9."/>
      <w:lvlJc w:val="right"/>
      <w:pPr>
        <w:ind w:left="6480" w:hanging="180"/>
      </w:pPr>
    </w:lvl>
  </w:abstractNum>
  <w:abstractNum w:abstractNumId="19"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11"/>
  </w:num>
  <w:num w:numId="6">
    <w:abstractNumId w:val="20"/>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4"/>
    <w:lvlOverride w:ilvl="0">
      <w:startOverride w:val="1"/>
    </w:lvlOverride>
  </w:num>
  <w:num w:numId="18">
    <w:abstractNumId w:val="10"/>
  </w:num>
  <w:num w:numId="19">
    <w:abstractNumId w:val="15"/>
  </w:num>
  <w:num w:numId="20">
    <w:abstractNumId w:val="12"/>
  </w:num>
  <w:num w:numId="21">
    <w:abstractNumId w:val="17"/>
  </w:num>
  <w:num w:numId="22">
    <w:abstractNumId w:val="13"/>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60"/>
    <w:rsid w:val="00026159"/>
    <w:rsid w:val="00026530"/>
    <w:rsid w:val="00031960"/>
    <w:rsid w:val="000D7C8B"/>
    <w:rsid w:val="00122094"/>
    <w:rsid w:val="00166185"/>
    <w:rsid w:val="001B5827"/>
    <w:rsid w:val="003342BD"/>
    <w:rsid w:val="00346B7B"/>
    <w:rsid w:val="0036063D"/>
    <w:rsid w:val="00376C67"/>
    <w:rsid w:val="003C046F"/>
    <w:rsid w:val="004226A5"/>
    <w:rsid w:val="004803DF"/>
    <w:rsid w:val="004907CE"/>
    <w:rsid w:val="0049327D"/>
    <w:rsid w:val="0079772D"/>
    <w:rsid w:val="007C7955"/>
    <w:rsid w:val="007E03A8"/>
    <w:rsid w:val="008275D2"/>
    <w:rsid w:val="008813AE"/>
    <w:rsid w:val="008F7509"/>
    <w:rsid w:val="00933B66"/>
    <w:rsid w:val="00975237"/>
    <w:rsid w:val="009D2644"/>
    <w:rsid w:val="009D7670"/>
    <w:rsid w:val="00A75448"/>
    <w:rsid w:val="00A9059F"/>
    <w:rsid w:val="00AD2FB1"/>
    <w:rsid w:val="00B21AAE"/>
    <w:rsid w:val="00B34F43"/>
    <w:rsid w:val="00B843A8"/>
    <w:rsid w:val="00B9376D"/>
    <w:rsid w:val="00C14AB2"/>
    <w:rsid w:val="00C64566"/>
    <w:rsid w:val="00C77CA3"/>
    <w:rsid w:val="00D31DFE"/>
    <w:rsid w:val="00D509BA"/>
    <w:rsid w:val="00D56F3A"/>
    <w:rsid w:val="00D867AB"/>
    <w:rsid w:val="00D8754B"/>
    <w:rsid w:val="00DA31B5"/>
    <w:rsid w:val="00DC14A8"/>
    <w:rsid w:val="00E42891"/>
    <w:rsid w:val="00E772C2"/>
    <w:rsid w:val="00E95533"/>
    <w:rsid w:val="00EE7A31"/>
    <w:rsid w:val="00F0778C"/>
    <w:rsid w:val="00F408A2"/>
    <w:rsid w:val="00F93CAF"/>
    <w:rsid w:val="00FA7D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C2EF"/>
  <w15:chartTrackingRefBased/>
  <w15:docId w15:val="{E19ED510-DFD1-4183-8ECB-CCC498C4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891"/>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E42891"/>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E42891"/>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E42891"/>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E42891"/>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E42891"/>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42891"/>
    <w:rPr>
      <w:rFonts w:asciiTheme="majorHAnsi" w:eastAsiaTheme="majorEastAsia" w:hAnsiTheme="majorHAnsi" w:cs="David"/>
      <w:bCs/>
      <w:sz w:val="32"/>
      <w:szCs w:val="36"/>
    </w:rPr>
  </w:style>
  <w:style w:type="character" w:customStyle="1" w:styleId="40">
    <w:name w:val="כותרת 4 תו"/>
    <w:basedOn w:val="a0"/>
    <w:link w:val="4"/>
    <w:uiPriority w:val="9"/>
    <w:rsid w:val="00E42891"/>
    <w:rPr>
      <w:rFonts w:ascii="David" w:hAnsi="David" w:cs="David"/>
      <w:b/>
      <w:bCs/>
      <w:color w:val="000000" w:themeColor="text1"/>
      <w:sz w:val="24"/>
      <w:szCs w:val="28"/>
    </w:rPr>
  </w:style>
  <w:style w:type="paragraph" w:customStyle="1" w:styleId="TableText">
    <w:name w:val="Table Text"/>
    <w:basedOn w:val="a"/>
    <w:rsid w:val="00E42891"/>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E42891"/>
    <w:pPr>
      <w:outlineLvl w:val="2"/>
    </w:pPr>
  </w:style>
  <w:style w:type="paragraph" w:customStyle="1" w:styleId="TableBlock">
    <w:name w:val="Table Block"/>
    <w:basedOn w:val="TableText"/>
    <w:rsid w:val="00E42891"/>
    <w:pPr>
      <w:jc w:val="both"/>
    </w:pPr>
  </w:style>
  <w:style w:type="paragraph" w:customStyle="1" w:styleId="TableHead">
    <w:name w:val="Table Head"/>
    <w:basedOn w:val="TableText"/>
    <w:rsid w:val="00E42891"/>
    <w:pPr>
      <w:jc w:val="center"/>
      <w:outlineLvl w:val="1"/>
    </w:pPr>
    <w:rPr>
      <w:b/>
      <w:bCs/>
    </w:rPr>
  </w:style>
  <w:style w:type="paragraph" w:customStyle="1" w:styleId="HeadMitparsemetBaze">
    <w:name w:val="Head MitparsemetBaze"/>
    <w:basedOn w:val="a"/>
    <w:rsid w:val="00E42891"/>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E42891"/>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E42891"/>
    <w:pPr>
      <w:tabs>
        <w:tab w:val="left" w:pos="680"/>
        <w:tab w:val="left" w:pos="1020"/>
      </w:tabs>
      <w:ind w:firstLine="0"/>
    </w:pPr>
  </w:style>
  <w:style w:type="paragraph" w:customStyle="1" w:styleId="HeadDivreiHesber">
    <w:name w:val="Head DivreiHesber"/>
    <w:basedOn w:val="a"/>
    <w:rsid w:val="00E42891"/>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E42891"/>
    <w:rPr>
      <w:rFonts w:asciiTheme="majorHAnsi" w:eastAsiaTheme="majorEastAsia" w:hAnsiTheme="majorHAnsi" w:cs="David"/>
      <w:bCs/>
      <w:sz w:val="26"/>
      <w:szCs w:val="36"/>
      <w:u w:val="single"/>
    </w:rPr>
  </w:style>
  <w:style w:type="character" w:customStyle="1" w:styleId="30">
    <w:name w:val="כותרת 3 תו"/>
    <w:basedOn w:val="a0"/>
    <w:link w:val="3"/>
    <w:rsid w:val="00E42891"/>
    <w:rPr>
      <w:rFonts w:asciiTheme="majorHAnsi" w:eastAsiaTheme="majorEastAsia" w:hAnsiTheme="majorHAnsi" w:cs="David"/>
      <w:sz w:val="24"/>
      <w:szCs w:val="28"/>
      <w:u w:val="double"/>
    </w:rPr>
  </w:style>
  <w:style w:type="character" w:customStyle="1" w:styleId="50">
    <w:name w:val="כותרת 5 תו"/>
    <w:basedOn w:val="a0"/>
    <w:link w:val="5"/>
    <w:uiPriority w:val="9"/>
    <w:rsid w:val="00E42891"/>
    <w:rPr>
      <w:rFonts w:ascii="David" w:hAnsi="David" w:cs="David"/>
      <w:color w:val="000000" w:themeColor="text1"/>
      <w:sz w:val="24"/>
      <w:szCs w:val="24"/>
    </w:rPr>
  </w:style>
  <w:style w:type="paragraph" w:customStyle="1" w:styleId="HeadHatzaotHok4Futer">
    <w:name w:val="Head HatzaotHok4Futer"/>
    <w:basedOn w:val="HeadHatzaotHok"/>
    <w:rsid w:val="00E42891"/>
    <w:pPr>
      <w:spacing w:before="120" w:after="120"/>
    </w:pPr>
    <w:rPr>
      <w:color w:val="FF0000"/>
      <w:w w:val="80"/>
    </w:rPr>
  </w:style>
  <w:style w:type="paragraph" w:styleId="a3">
    <w:name w:val="endnote text"/>
    <w:basedOn w:val="a"/>
    <w:link w:val="a4"/>
    <w:semiHidden/>
    <w:rsid w:val="00E42891"/>
    <w:pPr>
      <w:ind w:left="227" w:hanging="227"/>
    </w:pPr>
    <w:rPr>
      <w:sz w:val="14"/>
      <w:szCs w:val="22"/>
    </w:rPr>
  </w:style>
  <w:style w:type="character" w:customStyle="1" w:styleId="a4">
    <w:name w:val="טקסט הערת סיום תו"/>
    <w:basedOn w:val="a0"/>
    <w:link w:val="a3"/>
    <w:semiHidden/>
    <w:rsid w:val="00031960"/>
    <w:rPr>
      <w:rFonts w:ascii="David" w:hAnsi="David" w:cs="David"/>
      <w:sz w:val="14"/>
    </w:rPr>
  </w:style>
  <w:style w:type="paragraph" w:customStyle="1" w:styleId="TableInnerSideHeading">
    <w:name w:val="Table InnerSideHeading"/>
    <w:basedOn w:val="TableSideHeading"/>
    <w:rsid w:val="00E42891"/>
    <w:pPr>
      <w:outlineLvl w:val="9"/>
    </w:pPr>
  </w:style>
  <w:style w:type="paragraph" w:customStyle="1" w:styleId="Hesber">
    <w:name w:val="Hesber"/>
    <w:basedOn w:val="a"/>
    <w:rsid w:val="00E42891"/>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E42891"/>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031960"/>
    <w:rPr>
      <w:rFonts w:ascii="Arial" w:eastAsia="Arial Unicode MS" w:hAnsi="Arial" w:cs="David"/>
      <w:snapToGrid w:val="0"/>
      <w:sz w:val="14"/>
      <w:szCs w:val="20"/>
    </w:rPr>
  </w:style>
  <w:style w:type="character" w:styleId="a7">
    <w:name w:val="footnote reference"/>
    <w:aliases w:val="Footnote Reference"/>
    <w:basedOn w:val="a0"/>
    <w:semiHidden/>
    <w:rsid w:val="00E42891"/>
    <w:rPr>
      <w:vertAlign w:val="superscript"/>
    </w:rPr>
  </w:style>
  <w:style w:type="paragraph" w:customStyle="1" w:styleId="HesberHeading">
    <w:name w:val="Hesber Heading"/>
    <w:basedOn w:val="Hesber"/>
    <w:rsid w:val="00E42891"/>
    <w:pPr>
      <w:tabs>
        <w:tab w:val="left" w:pos="624"/>
        <w:tab w:val="left" w:pos="1247"/>
      </w:tabs>
    </w:pPr>
    <w:rPr>
      <w:b/>
      <w:bCs/>
    </w:rPr>
  </w:style>
  <w:style w:type="paragraph" w:customStyle="1" w:styleId="HesberWriters">
    <w:name w:val="Hesber Writers"/>
    <w:basedOn w:val="Hesber"/>
    <w:rsid w:val="00E42891"/>
    <w:pPr>
      <w:spacing w:before="120" w:after="120"/>
      <w:ind w:left="1418"/>
      <w:jc w:val="right"/>
    </w:pPr>
    <w:rPr>
      <w:b/>
      <w:bCs/>
    </w:rPr>
  </w:style>
  <w:style w:type="character" w:styleId="a8">
    <w:name w:val="endnote reference"/>
    <w:basedOn w:val="a0"/>
    <w:semiHidden/>
    <w:rsid w:val="00E42891"/>
    <w:rPr>
      <w:vertAlign w:val="superscript"/>
    </w:rPr>
  </w:style>
  <w:style w:type="paragraph" w:customStyle="1" w:styleId="TableBlockOutdent">
    <w:name w:val="Table BlockOutdent"/>
    <w:basedOn w:val="TableBlock"/>
    <w:rsid w:val="00E42891"/>
    <w:pPr>
      <w:ind w:left="624" w:hanging="624"/>
    </w:pPr>
  </w:style>
  <w:style w:type="paragraph" w:styleId="a9">
    <w:name w:val="header"/>
    <w:basedOn w:val="a"/>
    <w:link w:val="aa"/>
    <w:rsid w:val="00E42891"/>
    <w:pPr>
      <w:tabs>
        <w:tab w:val="center" w:pos="4153"/>
        <w:tab w:val="right" w:pos="8306"/>
      </w:tabs>
    </w:pPr>
  </w:style>
  <w:style w:type="character" w:customStyle="1" w:styleId="aa">
    <w:name w:val="כותרת עליונה תו"/>
    <w:basedOn w:val="a0"/>
    <w:link w:val="a9"/>
    <w:rsid w:val="00031960"/>
    <w:rPr>
      <w:rFonts w:ascii="David" w:hAnsi="David" w:cs="David"/>
      <w:sz w:val="24"/>
      <w:szCs w:val="24"/>
    </w:rPr>
  </w:style>
  <w:style w:type="paragraph" w:styleId="ab">
    <w:name w:val="footer"/>
    <w:basedOn w:val="a"/>
    <w:link w:val="ac"/>
    <w:rsid w:val="00E42891"/>
    <w:pPr>
      <w:tabs>
        <w:tab w:val="center" w:pos="4153"/>
        <w:tab w:val="right" w:pos="8306"/>
      </w:tabs>
    </w:pPr>
  </w:style>
  <w:style w:type="character" w:customStyle="1" w:styleId="ac">
    <w:name w:val="כותרת תחתונה תו"/>
    <w:basedOn w:val="a0"/>
    <w:link w:val="ab"/>
    <w:rsid w:val="00031960"/>
    <w:rPr>
      <w:rFonts w:ascii="David" w:hAnsi="David" w:cs="David"/>
      <w:sz w:val="24"/>
      <w:szCs w:val="24"/>
    </w:rPr>
  </w:style>
  <w:style w:type="character" w:styleId="ad">
    <w:name w:val="page number"/>
    <w:basedOn w:val="a0"/>
    <w:rsid w:val="00E42891"/>
  </w:style>
  <w:style w:type="paragraph" w:customStyle="1" w:styleId="Cover1-Reshumot">
    <w:name w:val="Cover 1-Reshumot"/>
    <w:basedOn w:val="a"/>
    <w:rsid w:val="00E42891"/>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E42891"/>
    <w:rPr>
      <w:sz w:val="36"/>
      <w:szCs w:val="52"/>
    </w:rPr>
  </w:style>
  <w:style w:type="paragraph" w:customStyle="1" w:styleId="Cover3-Haknesset">
    <w:name w:val="Cover 3-Haknesset"/>
    <w:basedOn w:val="Cover1-Reshumot"/>
    <w:rsid w:val="00E42891"/>
    <w:rPr>
      <w:b/>
      <w:bCs/>
      <w:spacing w:val="60"/>
    </w:rPr>
  </w:style>
  <w:style w:type="paragraph" w:customStyle="1" w:styleId="Cover4-Date">
    <w:name w:val="Cover 4-Date"/>
    <w:basedOn w:val="a"/>
    <w:rsid w:val="00E42891"/>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E42891"/>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E42891"/>
    <w:pPr>
      <w:widowControl/>
      <w:spacing w:before="120" w:after="120"/>
      <w:outlineLvl w:val="9"/>
    </w:pPr>
    <w:rPr>
      <w:rtl/>
      <w:cs/>
    </w:rPr>
  </w:style>
  <w:style w:type="paragraph" w:styleId="TOC1">
    <w:name w:val="toc 1"/>
    <w:basedOn w:val="a"/>
    <w:next w:val="a"/>
    <w:autoRedefine/>
    <w:uiPriority w:val="39"/>
    <w:unhideWhenUsed/>
    <w:rsid w:val="00E42891"/>
    <w:pPr>
      <w:tabs>
        <w:tab w:val="right" w:leader="dot" w:pos="9629"/>
      </w:tabs>
      <w:spacing w:after="100"/>
    </w:pPr>
    <w:rPr>
      <w:bCs/>
      <w:szCs w:val="22"/>
    </w:rPr>
  </w:style>
  <w:style w:type="paragraph" w:styleId="TOC2">
    <w:name w:val="toc 2"/>
    <w:basedOn w:val="a"/>
    <w:next w:val="a"/>
    <w:uiPriority w:val="39"/>
    <w:unhideWhenUsed/>
    <w:rsid w:val="00E42891"/>
    <w:pPr>
      <w:tabs>
        <w:tab w:val="right" w:leader="dot" w:pos="9628"/>
      </w:tabs>
      <w:spacing w:after="100"/>
    </w:pPr>
    <w:rPr>
      <w:szCs w:val="22"/>
    </w:rPr>
  </w:style>
  <w:style w:type="character" w:styleId="Hyperlink">
    <w:name w:val="Hyperlink"/>
    <w:basedOn w:val="a0"/>
    <w:uiPriority w:val="99"/>
    <w:unhideWhenUsed/>
    <w:rsid w:val="00E42891"/>
    <w:rPr>
      <w:color w:val="0563C1" w:themeColor="hyperlink"/>
      <w:u w:val="single"/>
    </w:rPr>
  </w:style>
  <w:style w:type="paragraph" w:styleId="TOC3">
    <w:name w:val="toc 3"/>
    <w:basedOn w:val="a"/>
    <w:next w:val="a"/>
    <w:uiPriority w:val="39"/>
    <w:unhideWhenUsed/>
    <w:rsid w:val="00E42891"/>
    <w:pPr>
      <w:numPr>
        <w:numId w:val="19"/>
      </w:numPr>
      <w:tabs>
        <w:tab w:val="num" w:pos="360"/>
        <w:tab w:val="right" w:leader="dot" w:pos="9629"/>
      </w:tabs>
      <w:spacing w:after="100"/>
      <w:ind w:left="811" w:hanging="357"/>
    </w:pPr>
    <w:rPr>
      <w:szCs w:val="22"/>
    </w:rPr>
  </w:style>
  <w:style w:type="paragraph" w:styleId="TOC4">
    <w:name w:val="toc 4"/>
    <w:basedOn w:val="a"/>
    <w:next w:val="a"/>
    <w:autoRedefine/>
    <w:uiPriority w:val="39"/>
    <w:unhideWhenUsed/>
    <w:qFormat/>
    <w:rsid w:val="00E42891"/>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E42891"/>
    <w:pPr>
      <w:tabs>
        <w:tab w:val="right" w:leader="dot" w:pos="9628"/>
      </w:tabs>
      <w:spacing w:after="100"/>
      <w:ind w:left="567"/>
    </w:pPr>
    <w:rPr>
      <w:szCs w:val="22"/>
    </w:rPr>
  </w:style>
  <w:style w:type="paragraph" w:styleId="TOC6">
    <w:name w:val="toc 6"/>
    <w:basedOn w:val="a"/>
    <w:next w:val="a"/>
    <w:autoRedefine/>
    <w:semiHidden/>
    <w:unhideWhenUsed/>
    <w:rsid w:val="00E42891"/>
    <w:pPr>
      <w:spacing w:after="100"/>
      <w:ind w:left="850"/>
    </w:pPr>
  </w:style>
  <w:style w:type="paragraph" w:styleId="TOC7">
    <w:name w:val="toc 7"/>
    <w:basedOn w:val="a"/>
    <w:next w:val="a"/>
    <w:autoRedefine/>
    <w:semiHidden/>
    <w:unhideWhenUsed/>
    <w:rsid w:val="00E42891"/>
    <w:pPr>
      <w:spacing w:after="100"/>
      <w:ind w:left="1020"/>
    </w:pPr>
  </w:style>
  <w:style w:type="paragraph" w:styleId="TOC8">
    <w:name w:val="toc 8"/>
    <w:basedOn w:val="a"/>
    <w:next w:val="a"/>
    <w:autoRedefine/>
    <w:semiHidden/>
    <w:unhideWhenUsed/>
    <w:rsid w:val="00E42891"/>
    <w:pPr>
      <w:spacing w:after="100"/>
      <w:ind w:left="1190"/>
    </w:pPr>
  </w:style>
  <w:style w:type="paragraph" w:styleId="TOC9">
    <w:name w:val="toc 9"/>
    <w:basedOn w:val="a"/>
    <w:next w:val="a"/>
    <w:autoRedefine/>
    <w:semiHidden/>
    <w:unhideWhenUsed/>
    <w:rsid w:val="00E42891"/>
    <w:pPr>
      <w:spacing w:after="100"/>
      <w:ind w:left="1360"/>
    </w:pPr>
  </w:style>
  <w:style w:type="paragraph" w:customStyle="1" w:styleId="TableHead2">
    <w:name w:val="Table Head2"/>
    <w:basedOn w:val="TableHead"/>
    <w:qFormat/>
    <w:rsid w:val="00E42891"/>
    <w:pPr>
      <w:outlineLvl w:val="9"/>
    </w:pPr>
  </w:style>
  <w:style w:type="paragraph" w:customStyle="1" w:styleId="TableSideHeading2">
    <w:name w:val="Table SideHeading2"/>
    <w:basedOn w:val="TableSideHeading"/>
    <w:autoRedefine/>
    <w:qFormat/>
    <w:rsid w:val="00E42891"/>
    <w:pPr>
      <w:keepLines w:val="0"/>
      <w:outlineLvl w:val="9"/>
    </w:pPr>
  </w:style>
  <w:style w:type="paragraph" w:customStyle="1" w:styleId="0">
    <w:name w:val="סגנון שורה ראשונה:  0  ס''מ"/>
    <w:basedOn w:val="2"/>
    <w:rsid w:val="00E42891"/>
    <w:rPr>
      <w:rFonts w:eastAsia="Times New Roman"/>
    </w:rPr>
  </w:style>
  <w:style w:type="paragraph" w:styleId="af">
    <w:name w:val="List Paragraph"/>
    <w:basedOn w:val="a"/>
    <w:uiPriority w:val="34"/>
    <w:qFormat/>
    <w:rsid w:val="00E42891"/>
    <w:pPr>
      <w:widowControl/>
      <w:spacing w:line="259" w:lineRule="auto"/>
    </w:pPr>
    <w:rPr>
      <w:rFonts w:asciiTheme="minorHAnsi" w:hAnsiTheme="minorHAnsi"/>
      <w:sz w:val="22"/>
    </w:rPr>
  </w:style>
  <w:style w:type="table" w:styleId="af0">
    <w:name w:val="Table Grid"/>
    <w:basedOn w:val="a1"/>
    <w:rsid w:val="00E4289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E42891"/>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E42891"/>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E42891"/>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E42891"/>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45882">
      <w:bodyDiv w:val="1"/>
      <w:marLeft w:val="0"/>
      <w:marRight w:val="0"/>
      <w:marTop w:val="0"/>
      <w:marBottom w:val="0"/>
      <w:divBdr>
        <w:top w:val="none" w:sz="0" w:space="0" w:color="auto"/>
        <w:left w:val="none" w:sz="0" w:space="0" w:color="auto"/>
        <w:bottom w:val="none" w:sz="0" w:space="0" w:color="auto"/>
        <w:right w:val="none" w:sz="0" w:space="0" w:color="auto"/>
      </w:divBdr>
    </w:div>
    <w:div w:id="18571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929</Words>
  <Characters>4646</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רון אלמוג</dc:creator>
  <cp:keywords/>
  <dc:description/>
  <cp:lastModifiedBy>רון אלמוג</cp:lastModifiedBy>
  <cp:revision>4</cp:revision>
  <dcterms:created xsi:type="dcterms:W3CDTF">2023-10-11T09:50:00Z</dcterms:created>
  <dcterms:modified xsi:type="dcterms:W3CDTF">2023-10-11T10:47:00Z</dcterms:modified>
</cp:coreProperties>
</file>