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6F815" w14:textId="77777777" w:rsidR="007F1873" w:rsidRPr="00D36597" w:rsidRDefault="007F1873" w:rsidP="007F1873">
      <w:pPr>
        <w:pStyle w:val="HeadHatzaotHok"/>
        <w:jc w:val="right"/>
        <w:rPr>
          <w:b w:val="0"/>
          <w:bCs w:val="0"/>
          <w:szCs w:val="20"/>
        </w:rPr>
      </w:pPr>
      <w:bookmarkStart w:id="0" w:name="Seif87"/>
      <w:bookmarkStart w:id="1" w:name="_GoBack"/>
      <w:bookmarkEnd w:id="0"/>
      <w:bookmarkEnd w:id="1"/>
      <w:r w:rsidRPr="00D36597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2" w:name="LGS_Internal_ID"/>
      <w:r w:rsidRPr="00D36597">
        <w:rPr>
          <w:rFonts w:hint="cs"/>
          <w:b w:val="0"/>
          <w:bCs w:val="0"/>
          <w:szCs w:val="20"/>
          <w:rtl/>
        </w:rPr>
        <w:t>2025589</w:t>
      </w:r>
      <w:bookmarkEnd w:id="2"/>
    </w:p>
    <w:p w14:paraId="70E8294C" w14:textId="77777777" w:rsidR="007F1873" w:rsidRPr="00D36597" w:rsidRDefault="007F1873" w:rsidP="007F1873">
      <w:pPr>
        <w:pStyle w:val="HeadHatzaotHok"/>
        <w:rPr>
          <w:sz w:val="28"/>
          <w:szCs w:val="28"/>
          <w:rtl/>
        </w:rPr>
      </w:pPr>
      <w:r w:rsidRPr="00D36597">
        <w:rPr>
          <w:rFonts w:hint="cs"/>
          <w:sz w:val="28"/>
          <w:szCs w:val="28"/>
          <w:rtl/>
        </w:rPr>
        <w:t xml:space="preserve">הכנסת </w:t>
      </w:r>
      <w:bookmarkStart w:id="3" w:name="LGS_Knesset_Num"/>
      <w:r w:rsidRPr="00D36597">
        <w:rPr>
          <w:rFonts w:hint="cs"/>
          <w:sz w:val="28"/>
          <w:szCs w:val="28"/>
          <w:rtl/>
        </w:rPr>
        <w:t>העשרים</w:t>
      </w:r>
      <w:bookmarkEnd w:id="3"/>
    </w:p>
    <w:p w14:paraId="1585497D" w14:textId="77777777" w:rsidR="007F1873" w:rsidRPr="00D36597" w:rsidRDefault="007F1873" w:rsidP="007F1873">
      <w:pPr>
        <w:rPr>
          <w:rFonts w:cs="David"/>
          <w:b/>
          <w:bCs/>
          <w:sz w:val="26"/>
          <w:szCs w:val="26"/>
          <w:rtl/>
        </w:rPr>
      </w:pPr>
    </w:p>
    <w:p w14:paraId="65E60133" w14:textId="4CD74FD6" w:rsidR="007F1873" w:rsidRPr="00D36597" w:rsidRDefault="007F1873" w:rsidP="004717B1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4" w:name="LGS_Initiators_List"/>
      <w:r>
        <w:rPr>
          <w:b/>
          <w:bCs/>
          <w:rtl/>
        </w:rPr>
        <w:t>יוזמים:      חברי הכנסת</w:t>
      </w:r>
      <w:bookmarkEnd w:id="4"/>
      <w:r w:rsidRPr="00D36597">
        <w:rPr>
          <w:b/>
          <w:bCs/>
        </w:rPr>
        <w:tab/>
      </w:r>
      <w:bookmarkStart w:id="5" w:name="LGS_PM_Names"/>
      <w:r>
        <w:rPr>
          <w:rFonts w:hint="cs"/>
          <w:b/>
          <w:bCs/>
          <w:rtl/>
        </w:rPr>
        <w:t>רוברט אילטוב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עודד פורר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חמד עמאר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יוליה מלינובסקי</w:t>
      </w:r>
      <w:bookmarkStart w:id="6" w:name="LGS_Join_List"/>
      <w:bookmarkEnd w:id="5"/>
      <w:r w:rsidRPr="00D36597">
        <w:rPr>
          <w:rtl/>
        </w:rPr>
        <w:t xml:space="preserve"> </w:t>
      </w:r>
      <w:bookmarkEnd w:id="6"/>
      <w:r w:rsidRPr="00D36597">
        <w:rPr>
          <w:rFonts w:hint="cs"/>
          <w:rtl/>
        </w:rPr>
        <w:tab/>
      </w:r>
      <w:bookmarkStart w:id="7" w:name="LGS_PM_NamesJoin"/>
      <w:r w:rsidRPr="00D36597">
        <w:rPr>
          <w:rFonts w:hint="cs"/>
          <w:rtl/>
        </w:rPr>
        <w:t xml:space="preserve"> </w:t>
      </w:r>
      <w:bookmarkEnd w:id="7"/>
    </w:p>
    <w:p w14:paraId="43C8F97D" w14:textId="77777777" w:rsidR="007F1873" w:rsidRPr="00D36597" w:rsidRDefault="007F1873" w:rsidP="007F1873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 w:rsidRPr="00D36597">
        <w:t>______________________________________________</w:t>
      </w:r>
      <w:r w:rsidRPr="00D36597">
        <w:tab/>
      </w:r>
      <w:r w:rsidRPr="00D36597">
        <w:rPr>
          <w:rFonts w:hint="cs"/>
          <w:rtl/>
        </w:rPr>
        <w:tab/>
      </w:r>
      <w:r w:rsidRPr="00D36597">
        <w:rPr>
          <w:rFonts w:hint="cs"/>
          <w:rtl/>
        </w:rPr>
        <w:tab/>
      </w:r>
      <w:r w:rsidRPr="00D36597">
        <w:rPr>
          <w:rFonts w:hint="cs"/>
          <w:rtl/>
        </w:rPr>
        <w:tab/>
      </w:r>
      <w:r w:rsidRPr="00D36597">
        <w:t xml:space="preserve">           </w:t>
      </w:r>
    </w:p>
    <w:p w14:paraId="101802D6" w14:textId="77777777" w:rsidR="007F1873" w:rsidRPr="00D36597" w:rsidRDefault="007F1873" w:rsidP="007F1873">
      <w:pPr>
        <w:pStyle w:val="David"/>
        <w:spacing w:before="0" w:line="240" w:lineRule="auto"/>
        <w:ind w:left="3544"/>
        <w:rPr>
          <w:rtl/>
        </w:rPr>
      </w:pPr>
      <w:r w:rsidRPr="00D36597">
        <w:t xml:space="preserve">                                             </w:t>
      </w:r>
      <w:bookmarkStart w:id="8" w:name="Private_Number"/>
      <w:r>
        <w:rPr>
          <w:rFonts w:hint="cs"/>
          <w:rtl/>
        </w:rPr>
        <w:t>פ/5211/20</w:t>
      </w:r>
      <w:bookmarkEnd w:id="8"/>
    </w:p>
    <w:p w14:paraId="043177BB" w14:textId="77777777" w:rsidR="007F1873" w:rsidRPr="00D36597" w:rsidRDefault="007F1873" w:rsidP="007F1873">
      <w:pPr>
        <w:pStyle w:val="HeadHatzaotHok"/>
        <w:rPr>
          <w:rtl/>
        </w:rPr>
      </w:pPr>
      <w:bookmarkStart w:id="9" w:name="LGS_Subject"/>
      <w:r>
        <w:rPr>
          <w:rFonts w:hint="cs"/>
          <w:rtl/>
        </w:rPr>
        <w:t>הצעת חוק העונשין (תיקון – החמרת ענישה בפשיעה חקלאית), התשע"ח–2018</w:t>
      </w:r>
      <w:bookmarkEnd w:id="9"/>
    </w:p>
    <w:p w14:paraId="78CAE5F2" w14:textId="77777777" w:rsidR="007F1873" w:rsidRPr="00D36597" w:rsidRDefault="007F1873" w:rsidP="007F1873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5"/>
        <w:gridCol w:w="6521"/>
      </w:tblGrid>
      <w:tr w:rsidR="007F1873" w:rsidRPr="00D36597" w14:paraId="6F002318" w14:textId="77777777" w:rsidTr="00406152">
        <w:trPr>
          <w:cantSplit/>
          <w:trHeight w:val="60"/>
        </w:trPr>
        <w:tc>
          <w:tcPr>
            <w:tcW w:w="1871" w:type="dxa"/>
          </w:tcPr>
          <w:p w14:paraId="1AE46AC7" w14:textId="77777777" w:rsidR="007F1873" w:rsidRPr="00D36597" w:rsidRDefault="007F1873" w:rsidP="00406152">
            <w:pPr>
              <w:pStyle w:val="TableSideHeading"/>
              <w:jc w:val="both"/>
              <w:rPr>
                <w:rtl/>
              </w:rPr>
            </w:pPr>
            <w:r w:rsidRPr="00D36597">
              <w:rPr>
                <w:rFonts w:hint="cs"/>
                <w:rtl/>
              </w:rPr>
              <w:t>תיקון סעיף 77</w:t>
            </w:r>
          </w:p>
        </w:tc>
        <w:tc>
          <w:tcPr>
            <w:tcW w:w="624" w:type="dxa"/>
          </w:tcPr>
          <w:p w14:paraId="47E1237E" w14:textId="77777777" w:rsidR="007F1873" w:rsidRPr="00D36597" w:rsidRDefault="007F1873" w:rsidP="00406152">
            <w:pPr>
              <w:pStyle w:val="TableText"/>
              <w:jc w:val="both"/>
              <w:rPr>
                <w:rtl/>
              </w:rPr>
            </w:pPr>
            <w:r w:rsidRPr="00D36597">
              <w:rPr>
                <w:rFonts w:hint="cs"/>
                <w:rtl/>
              </w:rPr>
              <w:t xml:space="preserve">1. </w:t>
            </w:r>
          </w:p>
        </w:tc>
        <w:tc>
          <w:tcPr>
            <w:tcW w:w="7146" w:type="dxa"/>
            <w:gridSpan w:val="2"/>
          </w:tcPr>
          <w:p w14:paraId="231B7264" w14:textId="77777777" w:rsidR="007F1873" w:rsidRPr="00D36597" w:rsidRDefault="007F1873" w:rsidP="00406152">
            <w:pPr>
              <w:pStyle w:val="TableBlock"/>
              <w:rPr>
                <w:rtl/>
              </w:rPr>
            </w:pPr>
            <w:r w:rsidRPr="00D36597">
              <w:rPr>
                <w:rFonts w:hint="cs"/>
                <w:rtl/>
              </w:rPr>
              <w:t>בחוק העונשין, התשל"ז–1977</w:t>
            </w:r>
            <w:r w:rsidRPr="00D36597">
              <w:rPr>
                <w:vertAlign w:val="superscript"/>
                <w:rtl/>
              </w:rPr>
              <w:footnoteReference w:id="2"/>
            </w:r>
            <w:r w:rsidRPr="00D36597">
              <w:rPr>
                <w:rFonts w:hint="cs"/>
                <w:sz w:val="26"/>
                <w:rtl/>
              </w:rPr>
              <w:t xml:space="preserve"> (להלן </w:t>
            </w:r>
            <w:r w:rsidRPr="00D36597">
              <w:rPr>
                <w:rFonts w:hint="eastAsia"/>
                <w:sz w:val="26"/>
                <w:rtl/>
              </w:rPr>
              <w:t>–</w:t>
            </w:r>
            <w:r w:rsidRPr="00D36597">
              <w:rPr>
                <w:rFonts w:hint="cs"/>
                <w:sz w:val="26"/>
                <w:rtl/>
              </w:rPr>
              <w:t xml:space="preserve"> החוק העיקרי),</w:t>
            </w:r>
            <w:r>
              <w:rPr>
                <w:rFonts w:hint="cs"/>
                <w:rtl/>
              </w:rPr>
              <w:t xml:space="preserve"> בסעיף 77, </w:t>
            </w:r>
            <w:r w:rsidRPr="00D36597">
              <w:rPr>
                <w:rFonts w:hint="cs"/>
                <w:rtl/>
              </w:rPr>
              <w:t>אחרי סעיף קטן (א) יבוא:</w:t>
            </w:r>
          </w:p>
        </w:tc>
      </w:tr>
      <w:tr w:rsidR="007F1873" w:rsidRPr="00D36597" w14:paraId="4D034749" w14:textId="77777777" w:rsidTr="00406152">
        <w:trPr>
          <w:cantSplit/>
          <w:trHeight w:val="60"/>
        </w:trPr>
        <w:tc>
          <w:tcPr>
            <w:tcW w:w="1871" w:type="dxa"/>
          </w:tcPr>
          <w:p w14:paraId="734F3578" w14:textId="77777777" w:rsidR="007F1873" w:rsidRPr="00D36597" w:rsidRDefault="007F1873" w:rsidP="00406152">
            <w:pPr>
              <w:pStyle w:val="TableSideHeading"/>
              <w:jc w:val="both"/>
              <w:rPr>
                <w:rtl/>
              </w:rPr>
            </w:pPr>
          </w:p>
        </w:tc>
        <w:tc>
          <w:tcPr>
            <w:tcW w:w="624" w:type="dxa"/>
          </w:tcPr>
          <w:p w14:paraId="40C33035" w14:textId="77777777" w:rsidR="007F1873" w:rsidRPr="00D36597" w:rsidRDefault="007F1873" w:rsidP="00406152">
            <w:pPr>
              <w:pStyle w:val="TableText"/>
              <w:jc w:val="both"/>
              <w:rPr>
                <w:rtl/>
              </w:rPr>
            </w:pPr>
          </w:p>
        </w:tc>
        <w:tc>
          <w:tcPr>
            <w:tcW w:w="7146" w:type="dxa"/>
            <w:gridSpan w:val="2"/>
          </w:tcPr>
          <w:p w14:paraId="1B1D4596" w14:textId="5CC0D765" w:rsidR="007F1873" w:rsidRPr="002A2FF5" w:rsidRDefault="007F1873" w:rsidP="00406152">
            <w:pPr>
              <w:pStyle w:val="TableBlock"/>
              <w:rPr>
                <w:rtl/>
              </w:rPr>
            </w:pPr>
            <w:r w:rsidRPr="002A2FF5">
              <w:rPr>
                <w:rFonts w:hint="cs"/>
                <w:rtl/>
              </w:rPr>
              <w:t>"(א1)</w:t>
            </w:r>
            <w:r w:rsidRPr="002A2FF5">
              <w:rPr>
                <w:rtl/>
              </w:rPr>
              <w:tab/>
            </w:r>
            <w:r w:rsidRPr="002A2FF5">
              <w:rPr>
                <w:rFonts w:hint="cs"/>
                <w:rtl/>
              </w:rPr>
              <w:t xml:space="preserve">על אף האמור בסעיף קטן (א), הורשע אדם בעבירה לפי סעיפים 384א(א)(2) או (ב), או 460, </w:t>
            </w:r>
            <w:r w:rsidRPr="002A2FF5">
              <w:rPr>
                <w:rtl/>
              </w:rPr>
              <w:t xml:space="preserve">רשאי בית המשפט לחייבו, בשל כל אחת מן </w:t>
            </w:r>
            <w:r w:rsidR="004717B1">
              <w:rPr>
                <w:rFonts w:hint="cs"/>
                <w:rtl/>
              </w:rPr>
              <w:t>מ</w:t>
            </w:r>
            <w:r w:rsidRPr="002A2FF5">
              <w:rPr>
                <w:rtl/>
              </w:rPr>
              <w:t xml:space="preserve">העבירות שהורשע בהן, לשלם לאדם שניזוק על ידי העבירה סכום שלא יעלה על </w:t>
            </w:r>
            <w:r w:rsidRPr="002A2FF5">
              <w:rPr>
                <w:rFonts w:hint="cs"/>
                <w:rtl/>
              </w:rPr>
              <w:t xml:space="preserve">2,500,000 </w:t>
            </w:r>
            <w:r w:rsidRPr="002A2FF5">
              <w:rPr>
                <w:rtl/>
              </w:rPr>
              <w:t>שקלים חדשים</w:t>
            </w:r>
            <w:r w:rsidRPr="002A2FF5">
              <w:rPr>
                <w:rFonts w:hint="cs"/>
                <w:rtl/>
              </w:rPr>
              <w:t xml:space="preserve"> </w:t>
            </w:r>
            <w:r w:rsidRPr="002A2FF5">
              <w:rPr>
                <w:rtl/>
              </w:rPr>
              <w:t>לפיצוי הנזק או הסבל שנגרם לו</w:t>
            </w:r>
            <w:r w:rsidRPr="002A2FF5">
              <w:rPr>
                <w:rFonts w:hint="cs"/>
                <w:rtl/>
              </w:rPr>
              <w:t>."</w:t>
            </w:r>
          </w:p>
        </w:tc>
      </w:tr>
      <w:tr w:rsidR="007F1873" w:rsidRPr="00D36597" w14:paraId="490DE120" w14:textId="77777777" w:rsidTr="00406152">
        <w:trPr>
          <w:cantSplit/>
          <w:trHeight w:val="60"/>
        </w:trPr>
        <w:tc>
          <w:tcPr>
            <w:tcW w:w="1871" w:type="dxa"/>
          </w:tcPr>
          <w:p w14:paraId="11D2936A" w14:textId="77777777" w:rsidR="007F1873" w:rsidRPr="00D36597" w:rsidRDefault="007F1873" w:rsidP="00406152">
            <w:pPr>
              <w:pStyle w:val="TableSideHeading"/>
              <w:jc w:val="both"/>
            </w:pPr>
            <w:r w:rsidRPr="00D36597">
              <w:rPr>
                <w:rFonts w:hint="cs"/>
                <w:rtl/>
              </w:rPr>
              <w:t>תיקון סעיף 384א</w:t>
            </w:r>
          </w:p>
        </w:tc>
        <w:tc>
          <w:tcPr>
            <w:tcW w:w="624" w:type="dxa"/>
          </w:tcPr>
          <w:p w14:paraId="566DFF75" w14:textId="77777777" w:rsidR="007F1873" w:rsidRPr="00D36597" w:rsidRDefault="007F1873" w:rsidP="00406152">
            <w:pPr>
              <w:pStyle w:val="TableText"/>
              <w:jc w:val="both"/>
            </w:pPr>
            <w:r w:rsidRPr="00D36597">
              <w:rPr>
                <w:rFonts w:hint="cs"/>
                <w:rtl/>
              </w:rPr>
              <w:t>2.</w:t>
            </w:r>
          </w:p>
        </w:tc>
        <w:tc>
          <w:tcPr>
            <w:tcW w:w="7146" w:type="dxa"/>
            <w:gridSpan w:val="2"/>
          </w:tcPr>
          <w:p w14:paraId="54EDFCF3" w14:textId="77777777" w:rsidR="007F1873" w:rsidRPr="00D36597" w:rsidRDefault="007F1873" w:rsidP="00406152">
            <w:pPr>
              <w:pStyle w:val="TableBlock"/>
            </w:pPr>
            <w:r w:rsidRPr="00D36597">
              <w:rPr>
                <w:rFonts w:hint="cs"/>
                <w:sz w:val="26"/>
                <w:rtl/>
              </w:rPr>
              <w:t xml:space="preserve">בסעיף 384א לחוק העיקרי </w:t>
            </w:r>
            <w:r w:rsidRPr="00D36597">
              <w:rPr>
                <w:rFonts w:hint="eastAsia"/>
                <w:sz w:val="26"/>
                <w:rtl/>
              </w:rPr>
              <w:t>–</w:t>
            </w:r>
            <w:r w:rsidRPr="00D36597">
              <w:rPr>
                <w:rFonts w:hint="cs"/>
                <w:sz w:val="26"/>
                <w:rtl/>
              </w:rPr>
              <w:t xml:space="preserve"> </w:t>
            </w:r>
          </w:p>
        </w:tc>
      </w:tr>
      <w:tr w:rsidR="007F1873" w:rsidRPr="00D36597" w14:paraId="16B641F4" w14:textId="77777777" w:rsidTr="00406152">
        <w:trPr>
          <w:cantSplit/>
          <w:trHeight w:val="60"/>
        </w:trPr>
        <w:tc>
          <w:tcPr>
            <w:tcW w:w="1871" w:type="dxa"/>
          </w:tcPr>
          <w:p w14:paraId="34826337" w14:textId="77777777" w:rsidR="007F1873" w:rsidRPr="00D36597" w:rsidRDefault="007F1873" w:rsidP="00406152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</w:tcPr>
          <w:p w14:paraId="0924FF9D" w14:textId="77777777" w:rsidR="007F1873" w:rsidRPr="00D36597" w:rsidRDefault="007F1873" w:rsidP="00406152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7146" w:type="dxa"/>
            <w:gridSpan w:val="2"/>
          </w:tcPr>
          <w:p w14:paraId="6B6EDA36" w14:textId="77777777" w:rsidR="007F1873" w:rsidRPr="00D36597" w:rsidRDefault="007F1873" w:rsidP="00406152">
            <w:pPr>
              <w:pStyle w:val="TableBlock"/>
              <w:rPr>
                <w:rtl/>
              </w:rPr>
            </w:pPr>
            <w:r w:rsidRPr="00D36597">
              <w:rPr>
                <w:rFonts w:hint="cs"/>
                <w:rtl/>
              </w:rPr>
              <w:t>(1)</w:t>
            </w:r>
            <w:r w:rsidRPr="00D36597">
              <w:rPr>
                <w:sz w:val="26"/>
                <w:rtl/>
              </w:rPr>
              <w:tab/>
            </w:r>
            <w:r w:rsidRPr="00D36597">
              <w:rPr>
                <w:rFonts w:hint="cs"/>
                <w:sz w:val="26"/>
                <w:rtl/>
              </w:rPr>
              <w:t xml:space="preserve">בסעיף קטן (א) </w:t>
            </w:r>
            <w:r w:rsidRPr="00D36597">
              <w:rPr>
                <w:rFonts w:hint="eastAsia"/>
                <w:sz w:val="26"/>
                <w:rtl/>
              </w:rPr>
              <w:t>–</w:t>
            </w:r>
          </w:p>
        </w:tc>
      </w:tr>
      <w:tr w:rsidR="007F1873" w:rsidRPr="00D36597" w14:paraId="1C60C1FC" w14:textId="77777777" w:rsidTr="00406152">
        <w:trPr>
          <w:cantSplit/>
          <w:trHeight w:val="60"/>
        </w:trPr>
        <w:tc>
          <w:tcPr>
            <w:tcW w:w="1871" w:type="dxa"/>
          </w:tcPr>
          <w:p w14:paraId="690CFCB0" w14:textId="77777777" w:rsidR="007F1873" w:rsidRPr="00D36597" w:rsidRDefault="007F1873" w:rsidP="00406152">
            <w:pPr>
              <w:pStyle w:val="TableSideHeading"/>
            </w:pPr>
          </w:p>
        </w:tc>
        <w:tc>
          <w:tcPr>
            <w:tcW w:w="624" w:type="dxa"/>
          </w:tcPr>
          <w:p w14:paraId="3246DDFB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625" w:type="dxa"/>
          </w:tcPr>
          <w:p w14:paraId="63BEAB31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6521" w:type="dxa"/>
          </w:tcPr>
          <w:p w14:paraId="24BA5BCE" w14:textId="6D24767F" w:rsidR="007F1873" w:rsidRPr="00D36597" w:rsidRDefault="007F1873" w:rsidP="00CC60FD">
            <w:pPr>
              <w:pStyle w:val="TableBlock"/>
            </w:pPr>
            <w:r>
              <w:rPr>
                <w:rFonts w:hint="cs"/>
                <w:rtl/>
              </w:rPr>
              <w:t>(א)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ברישה, במקום "ארבע שנים" יבוא "</w:t>
            </w:r>
            <w:r w:rsidRPr="00D36597">
              <w:rPr>
                <w:rFonts w:hint="cs"/>
                <w:rtl/>
              </w:rPr>
              <w:t>שש שנים וקנס של 125,0</w:t>
            </w:r>
            <w:r>
              <w:rPr>
                <w:rFonts w:hint="cs"/>
                <w:rtl/>
              </w:rPr>
              <w:t>0</w:t>
            </w:r>
            <w:r w:rsidRPr="00D36597">
              <w:rPr>
                <w:rFonts w:hint="cs"/>
                <w:rtl/>
              </w:rPr>
              <w:t xml:space="preserve">0 שקלים חדשים"; </w:t>
            </w:r>
          </w:p>
        </w:tc>
      </w:tr>
      <w:tr w:rsidR="007F1873" w:rsidRPr="00D36597" w14:paraId="5BD1FF46" w14:textId="77777777" w:rsidTr="00406152">
        <w:trPr>
          <w:cantSplit/>
          <w:trHeight w:val="60"/>
        </w:trPr>
        <w:tc>
          <w:tcPr>
            <w:tcW w:w="1871" w:type="dxa"/>
          </w:tcPr>
          <w:p w14:paraId="46FE9359" w14:textId="77777777" w:rsidR="007F1873" w:rsidRPr="00D36597" w:rsidRDefault="007F1873" w:rsidP="00406152">
            <w:pPr>
              <w:pStyle w:val="TableSideHeading"/>
            </w:pPr>
          </w:p>
        </w:tc>
        <w:tc>
          <w:tcPr>
            <w:tcW w:w="624" w:type="dxa"/>
          </w:tcPr>
          <w:p w14:paraId="2F679D04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625" w:type="dxa"/>
          </w:tcPr>
          <w:p w14:paraId="34FF7A92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6521" w:type="dxa"/>
          </w:tcPr>
          <w:p w14:paraId="480DFDE4" w14:textId="77777777" w:rsidR="007F1873" w:rsidRPr="00D36597" w:rsidRDefault="007F1873" w:rsidP="00406152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  <w:r>
              <w:rPr>
                <w:rtl/>
              </w:rPr>
              <w:tab/>
            </w:r>
            <w:r w:rsidRPr="00D36597">
              <w:rPr>
                <w:rFonts w:hint="cs"/>
                <w:rtl/>
              </w:rPr>
              <w:t xml:space="preserve">בפסקה (2), הסיפה החל במילים "ובלבד שערכו" </w:t>
            </w:r>
            <w:r w:rsidRPr="00D36597">
              <w:rPr>
                <w:rtl/>
              </w:rPr>
              <w:t>–</w:t>
            </w:r>
            <w:r w:rsidRPr="00D36597">
              <w:rPr>
                <w:rFonts w:hint="cs"/>
                <w:rtl/>
              </w:rPr>
              <w:t xml:space="preserve"> תימחק;</w:t>
            </w:r>
          </w:p>
        </w:tc>
      </w:tr>
      <w:tr w:rsidR="007F1873" w:rsidRPr="00D36597" w14:paraId="35DCD805" w14:textId="77777777" w:rsidTr="00406152">
        <w:trPr>
          <w:cantSplit/>
          <w:trHeight w:val="60"/>
        </w:trPr>
        <w:tc>
          <w:tcPr>
            <w:tcW w:w="1871" w:type="dxa"/>
          </w:tcPr>
          <w:p w14:paraId="223B0C67" w14:textId="77777777" w:rsidR="007F1873" w:rsidRPr="00D36597" w:rsidRDefault="007F1873" w:rsidP="00406152">
            <w:pPr>
              <w:pStyle w:val="TableSideHeading"/>
            </w:pPr>
          </w:p>
        </w:tc>
        <w:tc>
          <w:tcPr>
            <w:tcW w:w="624" w:type="dxa"/>
          </w:tcPr>
          <w:p w14:paraId="4E579B71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7146" w:type="dxa"/>
            <w:gridSpan w:val="2"/>
          </w:tcPr>
          <w:p w14:paraId="11F31798" w14:textId="10523A60" w:rsidR="007F1873" w:rsidRDefault="004717B1" w:rsidP="00406152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="007F1873">
              <w:rPr>
                <w:rFonts w:hint="cs"/>
                <w:rtl/>
              </w:rPr>
              <w:t>אחרי סעיף קטן (ב) יבוא:</w:t>
            </w:r>
          </w:p>
        </w:tc>
      </w:tr>
      <w:tr w:rsidR="007F1873" w:rsidRPr="00D36597" w14:paraId="1D1D7CC4" w14:textId="77777777" w:rsidTr="00406152">
        <w:trPr>
          <w:cantSplit/>
          <w:trHeight w:val="60"/>
        </w:trPr>
        <w:tc>
          <w:tcPr>
            <w:tcW w:w="1871" w:type="dxa"/>
          </w:tcPr>
          <w:p w14:paraId="7457FB53" w14:textId="77777777" w:rsidR="007F1873" w:rsidRPr="00D36597" w:rsidRDefault="007F1873" w:rsidP="00406152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6E51923D" w14:textId="77777777" w:rsidR="007F1873" w:rsidRPr="00D36597" w:rsidRDefault="007F1873" w:rsidP="00406152">
            <w:pPr>
              <w:pStyle w:val="TableText"/>
              <w:ind w:right="0"/>
              <w:jc w:val="both"/>
            </w:pPr>
          </w:p>
        </w:tc>
        <w:tc>
          <w:tcPr>
            <w:tcW w:w="625" w:type="dxa"/>
          </w:tcPr>
          <w:p w14:paraId="4A642E5D" w14:textId="77777777" w:rsidR="007F1873" w:rsidRPr="00E7407F" w:rsidRDefault="007F1873" w:rsidP="00406152">
            <w:pPr>
              <w:pStyle w:val="TableText"/>
              <w:ind w:right="0"/>
              <w:jc w:val="both"/>
              <w:rPr>
                <w:rtl/>
              </w:rPr>
            </w:pPr>
          </w:p>
        </w:tc>
        <w:tc>
          <w:tcPr>
            <w:tcW w:w="6521" w:type="dxa"/>
          </w:tcPr>
          <w:p w14:paraId="00537789" w14:textId="430D0816" w:rsidR="007F1873" w:rsidRPr="00E7407F" w:rsidRDefault="007F1873" w:rsidP="00406152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"(ב1)</w:t>
            </w:r>
            <w:r w:rsidR="004717B1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על אף האמור בסעיף קטן (ב), </w:t>
            </w:r>
            <w:r w:rsidRPr="00940918">
              <w:rPr>
                <w:rtl/>
              </w:rPr>
              <w:t>הג</w:t>
            </w:r>
            <w:r w:rsidRPr="00940918">
              <w:rPr>
                <w:rFonts w:hint="cs"/>
                <w:rtl/>
              </w:rPr>
              <w:t>ונ</w:t>
            </w:r>
            <w:r w:rsidRPr="00940918">
              <w:rPr>
                <w:rtl/>
              </w:rPr>
              <w:t>ב</w:t>
            </w:r>
            <w:r w:rsidRPr="00940918">
              <w:rPr>
                <w:rFonts w:hint="cs"/>
                <w:rtl/>
              </w:rPr>
              <w:t xml:space="preserve"> דבר כמפורט </w:t>
            </w:r>
            <w:r>
              <w:rPr>
                <w:rFonts w:hint="cs"/>
                <w:rtl/>
              </w:rPr>
              <w:t>בסעיף קטן (א)(2),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</w:rPr>
              <w:t xml:space="preserve">שערכו עולה על 50,000 שקלים חדשים, דינו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מאסר שבע שנים</w:t>
            </w:r>
            <w:r w:rsidRPr="00D36597">
              <w:rPr>
                <w:rFonts w:hint="cs"/>
                <w:rtl/>
              </w:rPr>
              <w:t xml:space="preserve"> וקנס כספי בשיעור של פי שלושה מערך הדבר</w:t>
            </w:r>
            <w:r>
              <w:rPr>
                <w:rFonts w:hint="cs"/>
                <w:rtl/>
              </w:rPr>
              <w:t>.</w:t>
            </w:r>
          </w:p>
        </w:tc>
      </w:tr>
      <w:tr w:rsidR="007F1873" w:rsidRPr="00D36597" w14:paraId="66479545" w14:textId="77777777" w:rsidTr="00406152">
        <w:trPr>
          <w:cantSplit/>
          <w:trHeight w:val="60"/>
        </w:trPr>
        <w:tc>
          <w:tcPr>
            <w:tcW w:w="1871" w:type="dxa"/>
          </w:tcPr>
          <w:p w14:paraId="0F483550" w14:textId="77777777" w:rsidR="007F1873" w:rsidRPr="00D36597" w:rsidRDefault="007F1873" w:rsidP="00406152">
            <w:pPr>
              <w:pStyle w:val="TableSideHeading"/>
            </w:pPr>
          </w:p>
        </w:tc>
        <w:tc>
          <w:tcPr>
            <w:tcW w:w="624" w:type="dxa"/>
          </w:tcPr>
          <w:p w14:paraId="6031F236" w14:textId="77777777" w:rsidR="007F1873" w:rsidRPr="00D36597" w:rsidRDefault="007F1873" w:rsidP="00406152">
            <w:pPr>
              <w:pStyle w:val="TableText"/>
              <w:ind w:right="0"/>
              <w:jc w:val="both"/>
            </w:pPr>
          </w:p>
        </w:tc>
        <w:tc>
          <w:tcPr>
            <w:tcW w:w="625" w:type="dxa"/>
          </w:tcPr>
          <w:p w14:paraId="7725EBA3" w14:textId="77777777" w:rsidR="007F1873" w:rsidRPr="00D36597" w:rsidRDefault="007F1873" w:rsidP="00406152">
            <w:pPr>
              <w:pStyle w:val="TableText"/>
              <w:ind w:right="0"/>
              <w:jc w:val="both"/>
            </w:pPr>
          </w:p>
        </w:tc>
        <w:tc>
          <w:tcPr>
            <w:tcW w:w="6521" w:type="dxa"/>
          </w:tcPr>
          <w:p w14:paraId="04CDCD3F" w14:textId="77777777" w:rsidR="007F1873" w:rsidRPr="00D36597" w:rsidRDefault="007F1873" w:rsidP="00406152">
            <w:pPr>
              <w:pStyle w:val="TableBlock"/>
            </w:pPr>
            <w:r w:rsidRPr="00D36597">
              <w:rPr>
                <w:rFonts w:hint="cs"/>
                <w:rtl/>
              </w:rPr>
              <w:t>(ג)</w:t>
            </w:r>
            <w:r>
              <w:rPr>
                <w:rtl/>
              </w:rPr>
              <w:tab/>
            </w:r>
            <w:r w:rsidRPr="00D36597">
              <w:rPr>
                <w:rtl/>
              </w:rPr>
              <w:t>הורשע אדם בעבירה לפי סעיפים קטנים (א)</w:t>
            </w:r>
            <w:r>
              <w:rPr>
                <w:rFonts w:hint="cs"/>
                <w:rtl/>
              </w:rPr>
              <w:t>(2)</w:t>
            </w:r>
            <w:r w:rsidRPr="00D36597">
              <w:rPr>
                <w:rtl/>
              </w:rPr>
              <w:t xml:space="preserve"> או (ב</w:t>
            </w:r>
            <w:r>
              <w:rPr>
                <w:rFonts w:hint="cs"/>
                <w:rtl/>
              </w:rPr>
              <w:t>1</w:t>
            </w:r>
            <w:r w:rsidRPr="00D36597">
              <w:rPr>
                <w:rtl/>
              </w:rPr>
              <w:t>), לא יפחת עונשו ממחצית העונש המרבי שנקבע לאותה עבירה</w:t>
            </w:r>
            <w:r>
              <w:rPr>
                <w:rFonts w:hint="cs"/>
                <w:rtl/>
              </w:rPr>
              <w:t>.</w:t>
            </w:r>
          </w:p>
        </w:tc>
      </w:tr>
      <w:tr w:rsidR="007F1873" w:rsidRPr="00D36597" w14:paraId="2C4AB648" w14:textId="77777777" w:rsidTr="00406152">
        <w:trPr>
          <w:cantSplit/>
          <w:trHeight w:val="60"/>
        </w:trPr>
        <w:tc>
          <w:tcPr>
            <w:tcW w:w="1871" w:type="dxa"/>
          </w:tcPr>
          <w:p w14:paraId="6336586C" w14:textId="77777777" w:rsidR="007F1873" w:rsidRPr="001D4286" w:rsidRDefault="007F1873" w:rsidP="00406152">
            <w:pPr>
              <w:pStyle w:val="TableSideHeading"/>
              <w:ind w:right="0"/>
            </w:pPr>
          </w:p>
        </w:tc>
        <w:tc>
          <w:tcPr>
            <w:tcW w:w="624" w:type="dxa"/>
          </w:tcPr>
          <w:p w14:paraId="36EB17B4" w14:textId="77777777" w:rsidR="007F1873" w:rsidRPr="00D36597" w:rsidRDefault="007F1873" w:rsidP="00406152">
            <w:pPr>
              <w:pStyle w:val="TableText"/>
              <w:ind w:right="0"/>
              <w:jc w:val="both"/>
            </w:pPr>
          </w:p>
        </w:tc>
        <w:tc>
          <w:tcPr>
            <w:tcW w:w="625" w:type="dxa"/>
          </w:tcPr>
          <w:p w14:paraId="73F92084" w14:textId="77777777" w:rsidR="007F1873" w:rsidRPr="00D36597" w:rsidRDefault="007F1873" w:rsidP="00406152">
            <w:pPr>
              <w:pStyle w:val="TableText"/>
              <w:ind w:right="0"/>
              <w:jc w:val="both"/>
            </w:pPr>
          </w:p>
        </w:tc>
        <w:tc>
          <w:tcPr>
            <w:tcW w:w="6521" w:type="dxa"/>
          </w:tcPr>
          <w:p w14:paraId="376156C6" w14:textId="0FF96995" w:rsidR="007F1873" w:rsidRDefault="007F1873" w:rsidP="00406152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(ד)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על אף האמור בסעיף 52(א), בעבירה לפי סעיפים קטנים (א)(2) או (ב1), לא יורה בית המשפט בגזר הדין כי עונש המאסר</w:t>
            </w:r>
            <w:r w:rsidR="004717B1">
              <w:rPr>
                <w:rFonts w:hint="cs"/>
                <w:rtl/>
              </w:rPr>
              <w:t>, כולו או מקצתו, יהיה על תנאי."</w:t>
            </w:r>
          </w:p>
        </w:tc>
      </w:tr>
      <w:tr w:rsidR="007F1873" w:rsidRPr="00D36597" w14:paraId="082AF71D" w14:textId="77777777" w:rsidTr="00406152">
        <w:trPr>
          <w:cantSplit/>
          <w:trHeight w:val="677"/>
        </w:trPr>
        <w:tc>
          <w:tcPr>
            <w:tcW w:w="1871" w:type="dxa"/>
          </w:tcPr>
          <w:p w14:paraId="493FC584" w14:textId="77777777" w:rsidR="007F1873" w:rsidRPr="00D36597" w:rsidRDefault="007F1873" w:rsidP="00406152">
            <w:pPr>
              <w:pStyle w:val="TableSideHeading"/>
              <w:jc w:val="both"/>
              <w:rPr>
                <w:rtl/>
              </w:rPr>
            </w:pPr>
            <w:r w:rsidRPr="00D36597">
              <w:rPr>
                <w:rFonts w:hint="cs"/>
                <w:rtl/>
              </w:rPr>
              <w:t>תיקון סעיף 460</w:t>
            </w:r>
          </w:p>
        </w:tc>
        <w:tc>
          <w:tcPr>
            <w:tcW w:w="624" w:type="dxa"/>
          </w:tcPr>
          <w:p w14:paraId="2E893F3B" w14:textId="77777777" w:rsidR="007F1873" w:rsidRPr="00D36597" w:rsidRDefault="007F1873" w:rsidP="00406152">
            <w:pPr>
              <w:pStyle w:val="TableText"/>
              <w:rPr>
                <w:rtl/>
              </w:rPr>
            </w:pPr>
            <w:r w:rsidRPr="00D36597">
              <w:rPr>
                <w:rFonts w:hint="cs"/>
                <w:rtl/>
              </w:rPr>
              <w:t>3.</w:t>
            </w:r>
          </w:p>
        </w:tc>
        <w:tc>
          <w:tcPr>
            <w:tcW w:w="7146" w:type="dxa"/>
            <w:gridSpan w:val="2"/>
          </w:tcPr>
          <w:p w14:paraId="624B91F3" w14:textId="77777777" w:rsidR="007F1873" w:rsidRPr="00D36597" w:rsidRDefault="007F1873" w:rsidP="00406152">
            <w:pPr>
              <w:spacing w:line="360" w:lineRule="auto"/>
              <w:ind w:firstLine="0"/>
              <w:rPr>
                <w:rFonts w:ascii="Arial" w:eastAsia="Arial Unicode MS" w:hAnsi="Arial" w:cs="David"/>
                <w:snapToGrid w:val="0"/>
                <w:spacing w:val="0"/>
                <w:sz w:val="20"/>
                <w:szCs w:val="26"/>
                <w:rtl/>
              </w:rPr>
            </w:pPr>
            <w:r w:rsidRPr="00D36597">
              <w:rPr>
                <w:rFonts w:ascii="Arial" w:eastAsia="Arial Unicode MS" w:hAnsi="Arial" w:cs="David" w:hint="cs"/>
                <w:snapToGrid w:val="0"/>
                <w:spacing w:val="0"/>
                <w:sz w:val="20"/>
                <w:szCs w:val="26"/>
                <w:rtl/>
              </w:rPr>
              <w:t xml:space="preserve">בסעיף 460 לחוק העיקרי </w:t>
            </w:r>
            <w:r w:rsidRPr="00D36597">
              <w:rPr>
                <w:rFonts w:ascii="Arial" w:eastAsia="Arial Unicode MS" w:hAnsi="Arial" w:cs="David" w:hint="eastAsia"/>
                <w:snapToGrid w:val="0"/>
                <w:spacing w:val="0"/>
                <w:sz w:val="20"/>
                <w:szCs w:val="26"/>
                <w:rtl/>
              </w:rPr>
              <w:t>–</w:t>
            </w:r>
          </w:p>
        </w:tc>
      </w:tr>
      <w:tr w:rsidR="007F1873" w:rsidRPr="00D36597" w14:paraId="276C6795" w14:textId="77777777" w:rsidTr="00406152">
        <w:trPr>
          <w:cantSplit/>
          <w:trHeight w:val="60"/>
        </w:trPr>
        <w:tc>
          <w:tcPr>
            <w:tcW w:w="1871" w:type="dxa"/>
          </w:tcPr>
          <w:p w14:paraId="7356D339" w14:textId="77777777" w:rsidR="007F1873" w:rsidRPr="00D36597" w:rsidRDefault="007F1873" w:rsidP="00406152">
            <w:pPr>
              <w:pStyle w:val="TableSideHeading"/>
            </w:pPr>
          </w:p>
        </w:tc>
        <w:tc>
          <w:tcPr>
            <w:tcW w:w="624" w:type="dxa"/>
          </w:tcPr>
          <w:p w14:paraId="64F21AAE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7146" w:type="dxa"/>
            <w:gridSpan w:val="2"/>
          </w:tcPr>
          <w:p w14:paraId="36F6717C" w14:textId="2F739A25" w:rsidR="007F1873" w:rsidRPr="00D36597" w:rsidRDefault="007F1873" w:rsidP="004717B1">
            <w:pPr>
              <w:pStyle w:val="TableBlock"/>
            </w:pPr>
            <w:r>
              <w:rPr>
                <w:rFonts w:hint="cs"/>
                <w:rtl/>
              </w:rPr>
              <w:t>(</w:t>
            </w:r>
            <w:r w:rsidR="004717B1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 w:rsidRPr="00D36597">
              <w:rPr>
                <w:rFonts w:hint="cs"/>
                <w:rtl/>
              </w:rPr>
              <w:t xml:space="preserve">במקום "שלוש שנים" יבוא "חמש שנים וקנס </w:t>
            </w:r>
            <w:r>
              <w:rPr>
                <w:rFonts w:hint="cs"/>
                <w:rtl/>
              </w:rPr>
              <w:t>של</w:t>
            </w:r>
            <w:r w:rsidRPr="00D36597">
              <w:rPr>
                <w:rFonts w:hint="cs"/>
                <w:rtl/>
              </w:rPr>
              <w:t xml:space="preserve"> 100,000 שקלים חדשים";</w:t>
            </w:r>
          </w:p>
        </w:tc>
      </w:tr>
      <w:tr w:rsidR="007F1873" w:rsidRPr="00D36597" w14:paraId="2759CB07" w14:textId="77777777" w:rsidTr="00406152">
        <w:trPr>
          <w:cantSplit/>
          <w:trHeight w:val="60"/>
        </w:trPr>
        <w:tc>
          <w:tcPr>
            <w:tcW w:w="1871" w:type="dxa"/>
          </w:tcPr>
          <w:p w14:paraId="04CE8830" w14:textId="77777777" w:rsidR="007F1873" w:rsidRPr="00D36597" w:rsidRDefault="007F1873" w:rsidP="00406152">
            <w:pPr>
              <w:pStyle w:val="TableSideHeading"/>
            </w:pPr>
          </w:p>
        </w:tc>
        <w:tc>
          <w:tcPr>
            <w:tcW w:w="624" w:type="dxa"/>
          </w:tcPr>
          <w:p w14:paraId="024B50BD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7146" w:type="dxa"/>
            <w:gridSpan w:val="2"/>
          </w:tcPr>
          <w:p w14:paraId="1E651816" w14:textId="29549832" w:rsidR="007F1873" w:rsidRPr="00D36597" w:rsidRDefault="007F1873" w:rsidP="004717B1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4717B1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ה</w:t>
            </w:r>
            <w:r w:rsidRPr="00D36597">
              <w:rPr>
                <w:rFonts w:hint="cs"/>
                <w:rtl/>
              </w:rPr>
              <w:t>אמור בו יסומן "(א)" ואחריו יבוא:</w:t>
            </w:r>
          </w:p>
        </w:tc>
      </w:tr>
      <w:tr w:rsidR="007F1873" w:rsidRPr="00D36597" w14:paraId="1CDB6BF7" w14:textId="77777777" w:rsidTr="00406152">
        <w:trPr>
          <w:cantSplit/>
          <w:trHeight w:val="60"/>
        </w:trPr>
        <w:tc>
          <w:tcPr>
            <w:tcW w:w="1871" w:type="dxa"/>
          </w:tcPr>
          <w:p w14:paraId="3ACE9D84" w14:textId="77777777" w:rsidR="007F1873" w:rsidRPr="00D36597" w:rsidRDefault="007F1873" w:rsidP="00406152">
            <w:pPr>
              <w:pStyle w:val="TableSideHeading"/>
            </w:pPr>
          </w:p>
        </w:tc>
        <w:tc>
          <w:tcPr>
            <w:tcW w:w="624" w:type="dxa"/>
          </w:tcPr>
          <w:p w14:paraId="237D9FDB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625" w:type="dxa"/>
          </w:tcPr>
          <w:p w14:paraId="256A524D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6521" w:type="dxa"/>
          </w:tcPr>
          <w:p w14:paraId="7AE42138" w14:textId="77777777" w:rsidR="007F1873" w:rsidRPr="00D36597" w:rsidRDefault="007F1873" w:rsidP="00406152">
            <w:pPr>
              <w:pStyle w:val="TableBlock"/>
            </w:pPr>
            <w:r>
              <w:rPr>
                <w:rtl/>
              </w:rPr>
              <w:t>"(ב)</w:t>
            </w:r>
            <w:r>
              <w:rPr>
                <w:rtl/>
              </w:rPr>
              <w:tab/>
            </w:r>
            <w:r w:rsidRPr="00D36597">
              <w:rPr>
                <w:rtl/>
              </w:rPr>
              <w:t>הורשע אדם בעבירה לפי סעי</w:t>
            </w:r>
            <w:r w:rsidRPr="00D36597">
              <w:rPr>
                <w:rFonts w:hint="cs"/>
                <w:rtl/>
              </w:rPr>
              <w:t>ף</w:t>
            </w:r>
            <w:r w:rsidRPr="00D36597">
              <w:rPr>
                <w:rtl/>
              </w:rPr>
              <w:t xml:space="preserve"> קט</w:t>
            </w:r>
            <w:r w:rsidRPr="00D36597">
              <w:rPr>
                <w:rFonts w:hint="cs"/>
                <w:rtl/>
              </w:rPr>
              <w:t>ן</w:t>
            </w:r>
            <w:r w:rsidRPr="00D36597">
              <w:rPr>
                <w:rtl/>
              </w:rPr>
              <w:t xml:space="preserve"> (א), לא יפחת עונשו ממחצית העונש המרבי שנקבע לאותה עבירה</w:t>
            </w:r>
            <w:r>
              <w:rPr>
                <w:rFonts w:hint="cs"/>
                <w:rtl/>
              </w:rPr>
              <w:t>.</w:t>
            </w:r>
            <w:r w:rsidRPr="00D36597">
              <w:rPr>
                <w:rFonts w:hint="cs"/>
                <w:rtl/>
              </w:rPr>
              <w:t xml:space="preserve"> </w:t>
            </w:r>
          </w:p>
        </w:tc>
      </w:tr>
      <w:tr w:rsidR="007F1873" w:rsidRPr="00D36597" w14:paraId="66081658" w14:textId="77777777" w:rsidTr="00406152">
        <w:trPr>
          <w:cantSplit/>
          <w:trHeight w:val="60"/>
        </w:trPr>
        <w:tc>
          <w:tcPr>
            <w:tcW w:w="1871" w:type="dxa"/>
          </w:tcPr>
          <w:p w14:paraId="28C997B5" w14:textId="77777777" w:rsidR="007F1873" w:rsidRPr="00D36597" w:rsidRDefault="007F1873" w:rsidP="00406152">
            <w:pPr>
              <w:pStyle w:val="TableSideHeading"/>
            </w:pPr>
          </w:p>
        </w:tc>
        <w:tc>
          <w:tcPr>
            <w:tcW w:w="624" w:type="dxa"/>
          </w:tcPr>
          <w:p w14:paraId="58CDBE57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625" w:type="dxa"/>
          </w:tcPr>
          <w:p w14:paraId="680BE34C" w14:textId="77777777" w:rsidR="007F1873" w:rsidRPr="00D36597" w:rsidRDefault="007F1873" w:rsidP="00406152">
            <w:pPr>
              <w:pStyle w:val="TableText"/>
            </w:pPr>
          </w:p>
        </w:tc>
        <w:tc>
          <w:tcPr>
            <w:tcW w:w="6521" w:type="dxa"/>
          </w:tcPr>
          <w:p w14:paraId="2B1BD6B1" w14:textId="01ACED7E" w:rsidR="007F1873" w:rsidRDefault="007F1873" w:rsidP="00406152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על אף הוראות סעיף 52(א), בעבירה לפי סעיף קטן (א) לא יורה בי</w:t>
            </w:r>
            <w:r w:rsidR="00337037">
              <w:rPr>
                <w:rFonts w:hint="cs"/>
                <w:rtl/>
              </w:rPr>
              <w:t>ת המשפט בגזר הדין כי עונש המאסר כולו</w:t>
            </w:r>
            <w:r>
              <w:rPr>
                <w:rFonts w:hint="cs"/>
                <w:rtl/>
              </w:rPr>
              <w:t xml:space="preserve"> יהיה על תנאי, אלא מטעמים מיוחדים שי</w:t>
            </w:r>
            <w:r w:rsidR="004717B1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רשמו.".</w:t>
            </w:r>
          </w:p>
        </w:tc>
      </w:tr>
    </w:tbl>
    <w:p w14:paraId="5F4E2A33" w14:textId="77777777" w:rsidR="007F1873" w:rsidRPr="00D36597" w:rsidRDefault="007F1873" w:rsidP="007F1873">
      <w:pPr>
        <w:pStyle w:val="HeadDivreiHesber"/>
        <w:rPr>
          <w:rtl/>
        </w:rPr>
      </w:pPr>
      <w:r w:rsidRPr="00D36597">
        <w:rPr>
          <w:rFonts w:hint="cs"/>
          <w:rtl/>
        </w:rPr>
        <w:t>דברי הסבר</w:t>
      </w:r>
    </w:p>
    <w:p w14:paraId="54B5C682" w14:textId="77777777" w:rsidR="007F1873" w:rsidRPr="00883C24" w:rsidRDefault="007F1873" w:rsidP="007F1873">
      <w:pPr>
        <w:pStyle w:val="Hesber"/>
        <w:rPr>
          <w:rtl/>
        </w:rPr>
      </w:pPr>
      <w:r w:rsidRPr="00883C24">
        <w:rPr>
          <w:rFonts w:hint="cs"/>
          <w:rtl/>
        </w:rPr>
        <w:t>פשיעה חקלאית הפכה למכת מדינה שגורמת לנזקים רבים לחקלאים ולחקלאות</w:t>
      </w:r>
      <w:r>
        <w:rPr>
          <w:rFonts w:hint="cs"/>
          <w:rtl/>
        </w:rPr>
        <w:t xml:space="preserve"> בכללותה</w:t>
      </w:r>
      <w:r w:rsidRPr="00883C24">
        <w:rPr>
          <w:rFonts w:hint="cs"/>
          <w:rtl/>
        </w:rPr>
        <w:t>. ה</w:t>
      </w:r>
      <w:r>
        <w:rPr>
          <w:rFonts w:hint="cs"/>
          <w:rtl/>
        </w:rPr>
        <w:t xml:space="preserve">פשיעה </w:t>
      </w:r>
      <w:r w:rsidRPr="00883C24">
        <w:rPr>
          <w:rFonts w:hint="cs"/>
          <w:rtl/>
        </w:rPr>
        <w:t>באה לידי ביטוי בהשחתה של ציוד ורכוש חקלאי, גניב</w:t>
      </w:r>
      <w:r>
        <w:rPr>
          <w:rFonts w:hint="cs"/>
          <w:rtl/>
        </w:rPr>
        <w:t xml:space="preserve">ה, ונדליזם, </w:t>
      </w:r>
      <w:r w:rsidRPr="00883C24">
        <w:rPr>
          <w:rFonts w:hint="cs"/>
          <w:rtl/>
        </w:rPr>
        <w:t xml:space="preserve">הצתה והברחה של בעלי חיים. </w:t>
      </w:r>
      <w:r>
        <w:rPr>
          <w:rFonts w:hint="cs"/>
          <w:rtl/>
        </w:rPr>
        <w:t>מלבד הפגיעה</w:t>
      </w:r>
      <w:r w:rsidRPr="00883C24">
        <w:rPr>
          <w:rtl/>
        </w:rPr>
        <w:t xml:space="preserve"> במקורות הפרנסה של ה</w:t>
      </w:r>
      <w:r>
        <w:rPr>
          <w:rFonts w:hint="cs"/>
          <w:rtl/>
        </w:rPr>
        <w:t>חקלאים, נוצרת פגיעה</w:t>
      </w:r>
      <w:r w:rsidRPr="00883C24">
        <w:rPr>
          <w:rFonts w:hint="cs"/>
          <w:rtl/>
        </w:rPr>
        <w:t xml:space="preserve"> בתחושת הביטחון הכללית והאישית של החקלאים </w:t>
      </w:r>
      <w:r>
        <w:rPr>
          <w:rFonts w:hint="cs"/>
          <w:rtl/>
        </w:rPr>
        <w:t>הנ</w:t>
      </w:r>
      <w:r w:rsidRPr="00883C24">
        <w:rPr>
          <w:rFonts w:hint="cs"/>
          <w:rtl/>
        </w:rPr>
        <w:t>דרשים להגן בגופ</w:t>
      </w:r>
      <w:r>
        <w:rPr>
          <w:rFonts w:hint="cs"/>
          <w:rtl/>
        </w:rPr>
        <w:t>ם על אדמותיהם</w:t>
      </w:r>
      <w:r w:rsidRPr="00883C24">
        <w:rPr>
          <w:rFonts w:hint="cs"/>
          <w:rtl/>
        </w:rPr>
        <w:t xml:space="preserve"> תוך חירוף נפשם. </w:t>
      </w:r>
    </w:p>
    <w:p w14:paraId="5C8D5D37" w14:textId="5E0E2257" w:rsidR="007F1873" w:rsidRPr="00883C24" w:rsidRDefault="007F1873" w:rsidP="00337037">
      <w:pPr>
        <w:pStyle w:val="Hesber"/>
        <w:rPr>
          <w:rtl/>
        </w:rPr>
      </w:pPr>
      <w:r w:rsidRPr="00F37177">
        <w:rPr>
          <w:rFonts w:hint="eastAsia"/>
          <w:rtl/>
        </w:rPr>
        <w:t>על</w:t>
      </w:r>
      <w:r w:rsidRPr="00F37177">
        <w:rPr>
          <w:rtl/>
        </w:rPr>
        <w:t xml:space="preserve"> </w:t>
      </w:r>
      <w:r w:rsidRPr="00F37177">
        <w:rPr>
          <w:rFonts w:hint="eastAsia"/>
          <w:rtl/>
        </w:rPr>
        <w:t>פי</w:t>
      </w:r>
      <w:r w:rsidRPr="00F37177">
        <w:rPr>
          <w:rtl/>
        </w:rPr>
        <w:t xml:space="preserve"> </w:t>
      </w:r>
      <w:r w:rsidRPr="00F37177">
        <w:rPr>
          <w:rFonts w:hint="eastAsia"/>
          <w:rtl/>
        </w:rPr>
        <w:t>דו</w:t>
      </w:r>
      <w:r w:rsidRPr="00F37177">
        <w:rPr>
          <w:rtl/>
        </w:rPr>
        <w:t xml:space="preserve">ח </w:t>
      </w:r>
      <w:r w:rsidRPr="00F37177">
        <w:rPr>
          <w:rFonts w:hint="eastAsia"/>
          <w:rtl/>
        </w:rPr>
        <w:t>מבקר</w:t>
      </w:r>
      <w:r w:rsidRPr="00F37177">
        <w:rPr>
          <w:rtl/>
        </w:rPr>
        <w:t xml:space="preserve"> </w:t>
      </w:r>
      <w:r w:rsidRPr="00F37177">
        <w:rPr>
          <w:rFonts w:hint="eastAsia"/>
          <w:rtl/>
        </w:rPr>
        <w:t>המדינה</w:t>
      </w:r>
      <w:r w:rsidRPr="00F37177">
        <w:rPr>
          <w:rtl/>
        </w:rPr>
        <w:t xml:space="preserve"> 67ב </w:t>
      </w:r>
      <w:r w:rsidRPr="00F37177">
        <w:rPr>
          <w:rFonts w:hint="eastAsia"/>
          <w:rtl/>
        </w:rPr>
        <w:t>ל</w:t>
      </w:r>
      <w:r w:rsidRPr="00F37177">
        <w:rPr>
          <w:rtl/>
        </w:rPr>
        <w:t>שנת 2</w:t>
      </w:r>
      <w:r w:rsidR="004717B1">
        <w:rPr>
          <w:rtl/>
        </w:rPr>
        <w:t>016 ולחשבונות שנת הכספים 2015 (</w:t>
      </w:r>
      <w:r w:rsidR="004717B1">
        <w:rPr>
          <w:rFonts w:hint="cs"/>
          <w:rtl/>
        </w:rPr>
        <w:t xml:space="preserve">להלן </w:t>
      </w:r>
      <w:r w:rsidR="004717B1">
        <w:rPr>
          <w:rFonts w:hint="eastAsia"/>
        </w:rPr>
        <w:t>–</w:t>
      </w:r>
      <w:r w:rsidR="004717B1">
        <w:rPr>
          <w:rFonts w:hint="cs"/>
          <w:rtl/>
        </w:rPr>
        <w:t xml:space="preserve"> </w:t>
      </w:r>
      <w:r w:rsidR="004717B1">
        <w:rPr>
          <w:rtl/>
        </w:rPr>
        <w:t>דוח מבקר המדינה</w:t>
      </w:r>
      <w:r w:rsidRPr="00F37177">
        <w:rPr>
          <w:rtl/>
        </w:rPr>
        <w:t xml:space="preserve">), הפשיעה </w:t>
      </w:r>
      <w:r w:rsidRPr="00F37177">
        <w:rPr>
          <w:rFonts w:hint="eastAsia"/>
          <w:rtl/>
        </w:rPr>
        <w:t>החקלאית</w:t>
      </w:r>
      <w:r>
        <w:rPr>
          <w:rtl/>
        </w:rPr>
        <w:t xml:space="preserve"> מכוונת לפגיעה בענפי חקלאות </w:t>
      </w:r>
      <w:r w:rsidRPr="00F37177">
        <w:rPr>
          <w:rtl/>
        </w:rPr>
        <w:t>שונים, והיא מתבטאת בגניבת תוצרת ויבול</w:t>
      </w:r>
      <w:r w:rsidRPr="00F37177">
        <w:rPr>
          <w:rFonts w:hint="cs"/>
          <w:rtl/>
        </w:rPr>
        <w:t xml:space="preserve">, </w:t>
      </w:r>
      <w:r w:rsidRPr="00F37177">
        <w:rPr>
          <w:rtl/>
        </w:rPr>
        <w:t>בעלי חיים</w:t>
      </w:r>
      <w:r w:rsidRPr="00F37177">
        <w:rPr>
          <w:rFonts w:hint="cs"/>
          <w:rtl/>
        </w:rPr>
        <w:t xml:space="preserve"> ו</w:t>
      </w:r>
      <w:r w:rsidRPr="00F37177">
        <w:rPr>
          <w:rtl/>
        </w:rPr>
        <w:t xml:space="preserve">ציוד חקלאי, </w:t>
      </w:r>
      <w:r w:rsidRPr="00F37177">
        <w:rPr>
          <w:rFonts w:hint="cs"/>
          <w:rtl/>
        </w:rPr>
        <w:t>ובכלל זה</w:t>
      </w:r>
      <w:r w:rsidRPr="00F37177">
        <w:rPr>
          <w:rtl/>
        </w:rPr>
        <w:t xml:space="preserve"> טרקטורים וחומרי הדברה ודישון המשמשים את החקלאים לעבודתם ולפרנסתם; </w:t>
      </w:r>
      <w:r w:rsidR="00337037">
        <w:rPr>
          <w:rFonts w:hint="cs"/>
          <w:rtl/>
        </w:rPr>
        <w:t>ב</w:t>
      </w:r>
      <w:r w:rsidRPr="00F37177">
        <w:rPr>
          <w:rtl/>
        </w:rPr>
        <w:t>גרימת נזק</w:t>
      </w:r>
      <w:r>
        <w:rPr>
          <w:rtl/>
        </w:rPr>
        <w:t xml:space="preserve"> לציוד, לתשתיות ולשטחים חקלאיים</w:t>
      </w:r>
      <w:r w:rsidRPr="00F37177">
        <w:rPr>
          <w:rtl/>
        </w:rPr>
        <w:t xml:space="preserve"> ו</w:t>
      </w:r>
      <w:r w:rsidRPr="00F37177">
        <w:rPr>
          <w:rFonts w:hint="cs"/>
          <w:rtl/>
        </w:rPr>
        <w:t>ב</w:t>
      </w:r>
      <w:r w:rsidRPr="00F37177">
        <w:rPr>
          <w:rtl/>
        </w:rPr>
        <w:t xml:space="preserve">השתלטות על שטחי מרעה. </w:t>
      </w:r>
      <w:r w:rsidR="00337037">
        <w:rPr>
          <w:rFonts w:hint="cs"/>
          <w:rtl/>
        </w:rPr>
        <w:t>כתוצאה מכך</w:t>
      </w:r>
      <w:r w:rsidRPr="00366163">
        <w:rPr>
          <w:rtl/>
        </w:rPr>
        <w:t>, הפשיעה החקלאית פוגעת במקורות הפרנסה של ה</w:t>
      </w:r>
      <w:r w:rsidRPr="00366163">
        <w:rPr>
          <w:rFonts w:hint="eastAsia"/>
          <w:rtl/>
        </w:rPr>
        <w:t>חקלאים</w:t>
      </w:r>
      <w:r w:rsidRPr="00366163">
        <w:rPr>
          <w:rtl/>
        </w:rPr>
        <w:t xml:space="preserve"> ועלולה לרושש אותם לחלוטין.</w:t>
      </w:r>
      <w:r w:rsidRPr="00F37177">
        <w:rPr>
          <w:rtl/>
        </w:rPr>
        <w:t xml:space="preserve"> </w:t>
      </w:r>
      <w:r w:rsidR="004717B1">
        <w:rPr>
          <w:rFonts w:hint="cs"/>
          <w:rtl/>
        </w:rPr>
        <w:t xml:space="preserve">כמו </w:t>
      </w:r>
      <w:r w:rsidRPr="00F37177">
        <w:rPr>
          <w:rFonts w:hint="cs"/>
          <w:rtl/>
        </w:rPr>
        <w:t>כן</w:t>
      </w:r>
      <w:r w:rsidR="004717B1">
        <w:rPr>
          <w:rFonts w:hint="cs"/>
          <w:rtl/>
        </w:rPr>
        <w:t>,</w:t>
      </w:r>
      <w:r w:rsidRPr="00F37177">
        <w:rPr>
          <w:rFonts w:hint="cs"/>
          <w:rtl/>
        </w:rPr>
        <w:t xml:space="preserve"> צוין כי לפי הנתונים שבידי משמר הגבול</w:t>
      </w:r>
      <w:r w:rsidRPr="00F37177">
        <w:rPr>
          <w:rtl/>
        </w:rPr>
        <w:t>, את מרבית העבירות מבצעות כנופיות מאורגנות ומקצועיות שמאופיינות בתחכום ובתעוזה רבה, רובן מתחום הרשות הפלסטינית.</w:t>
      </w:r>
    </w:p>
    <w:p w14:paraId="363DE7B7" w14:textId="4C157DE8" w:rsidR="007F1873" w:rsidRPr="00883C24" w:rsidRDefault="007F1873" w:rsidP="004717B1">
      <w:pPr>
        <w:pStyle w:val="Hesber"/>
        <w:rPr>
          <w:rtl/>
        </w:rPr>
      </w:pPr>
      <w:r w:rsidRPr="00883C24">
        <w:rPr>
          <w:rFonts w:hint="cs"/>
          <w:rtl/>
        </w:rPr>
        <w:t>פרסו</w:t>
      </w:r>
      <w:r>
        <w:rPr>
          <w:rFonts w:hint="cs"/>
          <w:rtl/>
        </w:rPr>
        <w:t xml:space="preserve">ם </w:t>
      </w:r>
      <w:r w:rsidRPr="00883C24">
        <w:rPr>
          <w:rFonts w:hint="cs"/>
          <w:rtl/>
        </w:rPr>
        <w:t>מרכז המחקר והמ</w:t>
      </w:r>
      <w:r>
        <w:rPr>
          <w:rFonts w:hint="cs"/>
          <w:rtl/>
        </w:rPr>
        <w:t>ידע של הכנסת מיום 15 ביוני 2016</w:t>
      </w:r>
      <w:r w:rsidRPr="00883C24">
        <w:rPr>
          <w:rFonts w:hint="cs"/>
          <w:rtl/>
        </w:rPr>
        <w:t xml:space="preserve"> </w:t>
      </w:r>
      <w:r>
        <w:rPr>
          <w:rFonts w:hint="cs"/>
          <w:rtl/>
        </w:rPr>
        <w:t>בנושא הפשיעה</w:t>
      </w:r>
      <w:r w:rsidRPr="00883C24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883C24">
        <w:rPr>
          <w:rFonts w:hint="cs"/>
          <w:rtl/>
        </w:rPr>
        <w:t>חקלאית בישראל</w:t>
      </w:r>
      <w:r>
        <w:rPr>
          <w:rFonts w:hint="cs"/>
          <w:rtl/>
        </w:rPr>
        <w:t xml:space="preserve"> ופעולות למיגורה, הציג</w:t>
      </w:r>
      <w:r w:rsidRPr="00883C24">
        <w:rPr>
          <w:rFonts w:hint="cs"/>
          <w:rtl/>
        </w:rPr>
        <w:t xml:space="preserve"> תמונה מדאיגה לפיה בין השנים 2011</w:t>
      </w:r>
      <w:r w:rsidR="004717B1">
        <w:rPr>
          <w:rFonts w:hint="eastAsia"/>
          <w:rtl/>
        </w:rPr>
        <w:t>–</w:t>
      </w:r>
      <w:r w:rsidRPr="00883C24">
        <w:rPr>
          <w:rFonts w:hint="cs"/>
          <w:rtl/>
        </w:rPr>
        <w:t xml:space="preserve">2015, נפתחו 5,239 </w:t>
      </w:r>
      <w:r w:rsidRPr="00883C24">
        <w:rPr>
          <w:rtl/>
        </w:rPr>
        <w:t>תיקי חקירה בגין פשיעה חקלאית</w:t>
      </w:r>
      <w:r w:rsidRPr="00883C24">
        <w:rPr>
          <w:rFonts w:hint="cs"/>
          <w:rtl/>
        </w:rPr>
        <w:t xml:space="preserve">, </w:t>
      </w:r>
      <w:r>
        <w:rPr>
          <w:rFonts w:hint="cs"/>
          <w:rtl/>
        </w:rPr>
        <w:t>ונגנזו 4703 ת</w:t>
      </w:r>
      <w:r w:rsidR="004717B1">
        <w:rPr>
          <w:rFonts w:hint="cs"/>
          <w:rtl/>
        </w:rPr>
        <w:t>יקים מסיבות שונות. בשנים האלה נ</w:t>
      </w:r>
      <w:r>
        <w:rPr>
          <w:rFonts w:hint="cs"/>
          <w:rtl/>
        </w:rPr>
        <w:t>דונו</w:t>
      </w:r>
      <w:r w:rsidRPr="00883C24">
        <w:rPr>
          <w:rFonts w:hint="cs"/>
          <w:rtl/>
        </w:rPr>
        <w:t xml:space="preserve"> בבית המשפט רק 95 תיקים, המהווים 1.8% מסך התלונות. </w:t>
      </w:r>
      <w:r>
        <w:rPr>
          <w:rFonts w:hint="cs"/>
          <w:rtl/>
        </w:rPr>
        <w:t>הנתונים הנזכרים מעידים רק על</w:t>
      </w:r>
      <w:r w:rsidRPr="00883C24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883C24">
        <w:rPr>
          <w:rFonts w:hint="cs"/>
          <w:rtl/>
        </w:rPr>
        <w:t xml:space="preserve">פשיעה המדווחת, </w:t>
      </w:r>
      <w:r>
        <w:rPr>
          <w:rFonts w:hint="cs"/>
          <w:rtl/>
        </w:rPr>
        <w:t xml:space="preserve">ולכן, </w:t>
      </w:r>
      <w:r w:rsidRPr="00883C24">
        <w:rPr>
          <w:rFonts w:hint="cs"/>
          <w:rtl/>
        </w:rPr>
        <w:t>ה</w:t>
      </w:r>
      <w:r>
        <w:rPr>
          <w:rFonts w:hint="cs"/>
          <w:rtl/>
        </w:rPr>
        <w:t>מצב</w:t>
      </w:r>
      <w:r w:rsidRPr="00883C24">
        <w:rPr>
          <w:rFonts w:hint="cs"/>
          <w:rtl/>
        </w:rPr>
        <w:t xml:space="preserve"> בפועל </w:t>
      </w:r>
      <w:r>
        <w:rPr>
          <w:rFonts w:hint="cs"/>
          <w:rtl/>
        </w:rPr>
        <w:t xml:space="preserve">מדאיג בהרבה </w:t>
      </w:r>
      <w:r>
        <w:rPr>
          <w:rFonts w:hint="eastAsia"/>
          <w:rtl/>
        </w:rPr>
        <w:t>–</w:t>
      </w:r>
      <w:r w:rsidRPr="00883C24">
        <w:rPr>
          <w:rFonts w:hint="cs"/>
        </w:rPr>
        <w:t xml:space="preserve"> </w:t>
      </w:r>
      <w:r w:rsidRPr="00883C24">
        <w:rPr>
          <w:rFonts w:hint="cs"/>
          <w:rtl/>
        </w:rPr>
        <w:t>חק</w:t>
      </w:r>
      <w:r>
        <w:rPr>
          <w:rFonts w:hint="cs"/>
          <w:rtl/>
        </w:rPr>
        <w:t>לאים רבים נתונים לאיומים וסחיטה</w:t>
      </w:r>
      <w:r w:rsidRPr="00883C24">
        <w:rPr>
          <w:rFonts w:hint="cs"/>
          <w:rtl/>
        </w:rPr>
        <w:t xml:space="preserve"> ונמנעים מהגשת תלונות</w:t>
      </w:r>
      <w:r>
        <w:rPr>
          <w:rFonts w:hint="cs"/>
          <w:rtl/>
        </w:rPr>
        <w:t>.</w:t>
      </w:r>
      <w:r w:rsidRPr="00883C24">
        <w:rPr>
          <w:rFonts w:hint="cs"/>
          <w:rtl/>
        </w:rPr>
        <w:t xml:space="preserve"> זאת בין היתר </w:t>
      </w:r>
      <w:r>
        <w:rPr>
          <w:rFonts w:hint="cs"/>
          <w:rtl/>
        </w:rPr>
        <w:t>משום היעדר אכיפה ו</w:t>
      </w:r>
      <w:r w:rsidRPr="00883C24">
        <w:rPr>
          <w:rFonts w:hint="cs"/>
          <w:rtl/>
        </w:rPr>
        <w:t>הרתעה</w:t>
      </w:r>
      <w:r>
        <w:rPr>
          <w:rFonts w:hint="cs"/>
          <w:rtl/>
        </w:rPr>
        <w:t>,</w:t>
      </w:r>
      <w:r w:rsidRPr="00883C24">
        <w:rPr>
          <w:rFonts w:hint="cs"/>
          <w:rtl/>
        </w:rPr>
        <w:t xml:space="preserve"> </w:t>
      </w:r>
      <w:r>
        <w:rPr>
          <w:rFonts w:hint="cs"/>
          <w:rtl/>
        </w:rPr>
        <w:t xml:space="preserve">ובשל </w:t>
      </w:r>
      <w:r w:rsidRPr="00883C24">
        <w:rPr>
          <w:rFonts w:hint="cs"/>
          <w:rtl/>
        </w:rPr>
        <w:t>הנזק המ</w:t>
      </w:r>
      <w:r>
        <w:rPr>
          <w:rFonts w:hint="cs"/>
          <w:rtl/>
        </w:rPr>
        <w:t>י</w:t>
      </w:r>
      <w:r w:rsidRPr="00883C24">
        <w:rPr>
          <w:rFonts w:hint="cs"/>
          <w:rtl/>
        </w:rPr>
        <w:t xml:space="preserve">די שצפוי להיגרם לחקלאי </w:t>
      </w:r>
      <w:r>
        <w:rPr>
          <w:rFonts w:hint="cs"/>
          <w:rtl/>
        </w:rPr>
        <w:t>המתלונן</w:t>
      </w:r>
      <w:r w:rsidRPr="00883C24">
        <w:rPr>
          <w:rFonts w:hint="cs"/>
          <w:rtl/>
        </w:rPr>
        <w:t xml:space="preserve">. </w:t>
      </w:r>
      <w:r w:rsidRPr="00F37177">
        <w:rPr>
          <w:rFonts w:hint="eastAsia"/>
          <w:rtl/>
        </w:rPr>
        <w:t>על</w:t>
      </w:r>
      <w:r w:rsidRPr="00F37177">
        <w:rPr>
          <w:rtl/>
        </w:rPr>
        <w:t xml:space="preserve"> פי ה</w:t>
      </w:r>
      <w:r>
        <w:rPr>
          <w:rFonts w:hint="cs"/>
          <w:rtl/>
        </w:rPr>
        <w:t>נתונים</w:t>
      </w:r>
      <w:r>
        <w:rPr>
          <w:rtl/>
        </w:rPr>
        <w:t xml:space="preserve"> ש</w:t>
      </w:r>
      <w:r>
        <w:rPr>
          <w:rFonts w:hint="cs"/>
          <w:rtl/>
        </w:rPr>
        <w:t>צוינו</w:t>
      </w:r>
      <w:r w:rsidR="004717B1">
        <w:rPr>
          <w:rtl/>
        </w:rPr>
        <w:t xml:space="preserve"> בדו</w:t>
      </w:r>
      <w:r w:rsidRPr="00F37177">
        <w:rPr>
          <w:rtl/>
        </w:rPr>
        <w:t>ח מבקר המדינה, החקלאים</w:t>
      </w:r>
      <w:r>
        <w:rPr>
          <w:rtl/>
        </w:rPr>
        <w:t xml:space="preserve"> מגישים תלונה למשטרה רק בגין</w:t>
      </w:r>
      <w:r>
        <w:rPr>
          <w:rFonts w:hint="cs"/>
          <w:rtl/>
        </w:rPr>
        <w:t xml:space="preserve"> 15%-25% מ</w:t>
      </w:r>
      <w:r w:rsidRPr="00F37177">
        <w:rPr>
          <w:rtl/>
        </w:rPr>
        <w:t>אירועי הפשיעה החקלאית.</w:t>
      </w:r>
    </w:p>
    <w:p w14:paraId="7FEF1E0F" w14:textId="77777777" w:rsidR="007F1873" w:rsidRPr="00883C24" w:rsidRDefault="007F1873" w:rsidP="007F1873">
      <w:pPr>
        <w:pStyle w:val="Hesber"/>
        <w:rPr>
          <w:rtl/>
        </w:rPr>
      </w:pPr>
      <w:r w:rsidRPr="00883C24">
        <w:rPr>
          <w:rFonts w:hint="cs"/>
          <w:rtl/>
        </w:rPr>
        <w:t>היעדר הרתעה</w:t>
      </w:r>
      <w:r>
        <w:rPr>
          <w:rFonts w:hint="cs"/>
          <w:rtl/>
        </w:rPr>
        <w:t xml:space="preserve"> מספקת מביא להרחבת היקף</w:t>
      </w:r>
      <w:r w:rsidRPr="00883C24">
        <w:rPr>
          <w:rFonts w:hint="cs"/>
          <w:rtl/>
        </w:rPr>
        <w:t xml:space="preserve"> הפשיעה החקלאית, עד כדי הקמתן של התארגנות עצמאיות ופרטיות ללוחמה בפשיעה </w:t>
      </w:r>
      <w:r>
        <w:rPr>
          <w:rFonts w:hint="cs"/>
          <w:rtl/>
        </w:rPr>
        <w:t>הכלכלית האמורה</w:t>
      </w:r>
      <w:r w:rsidRPr="00883C24">
        <w:rPr>
          <w:rFonts w:hint="cs"/>
          <w:rtl/>
        </w:rPr>
        <w:t xml:space="preserve">. </w:t>
      </w:r>
    </w:p>
    <w:p w14:paraId="136129B3" w14:textId="6B989F82" w:rsidR="007F1873" w:rsidRPr="00883C24" w:rsidRDefault="007F1873" w:rsidP="00337037">
      <w:pPr>
        <w:pStyle w:val="Hesber"/>
        <w:rPr>
          <w:rtl/>
        </w:rPr>
      </w:pPr>
      <w:r w:rsidRPr="00883C24">
        <w:rPr>
          <w:rFonts w:hint="cs"/>
          <w:rtl/>
        </w:rPr>
        <w:lastRenderedPageBreak/>
        <w:t>אין חולק על חשיבותה של החקלאות בהווי הישראלי</w:t>
      </w:r>
      <w:r>
        <w:rPr>
          <w:rFonts w:hint="cs"/>
          <w:rtl/>
        </w:rPr>
        <w:t>.</w:t>
      </w:r>
      <w:r w:rsidRPr="00883C24">
        <w:rPr>
          <w:rFonts w:hint="cs"/>
          <w:rtl/>
        </w:rPr>
        <w:t xml:space="preserve"> </w:t>
      </w:r>
      <w:r w:rsidRPr="00883C24">
        <w:rPr>
          <w:rtl/>
        </w:rPr>
        <w:t>רוב המגזר החקלאי בישראל נמצא במרחב הכפרי</w:t>
      </w:r>
      <w:r w:rsidRPr="00883C24">
        <w:rPr>
          <w:rFonts w:hint="cs"/>
          <w:rtl/>
        </w:rPr>
        <w:t xml:space="preserve"> </w:t>
      </w:r>
      <w:r>
        <w:rPr>
          <w:rFonts w:hint="cs"/>
          <w:rtl/>
        </w:rPr>
        <w:t>ותרומתו</w:t>
      </w:r>
      <w:r w:rsidRPr="00883C24">
        <w:rPr>
          <w:rtl/>
        </w:rPr>
        <w:t xml:space="preserve"> למדינה </w:t>
      </w:r>
      <w:r>
        <w:rPr>
          <w:rFonts w:hint="cs"/>
          <w:rtl/>
        </w:rPr>
        <w:t xml:space="preserve">היא חיונית </w:t>
      </w:r>
      <w:r w:rsidRPr="00883C24">
        <w:rPr>
          <w:rtl/>
        </w:rPr>
        <w:t xml:space="preserve">מבחינה כלכלית, חברתית, ערכית ולאומית. </w:t>
      </w:r>
      <w:r>
        <w:rPr>
          <w:rFonts w:hint="cs"/>
          <w:rtl/>
        </w:rPr>
        <w:t xml:space="preserve">אף על פי כן, </w:t>
      </w:r>
      <w:r w:rsidRPr="00883C24">
        <w:rPr>
          <w:rtl/>
        </w:rPr>
        <w:t xml:space="preserve">זה שנים </w:t>
      </w:r>
      <w:r>
        <w:rPr>
          <w:rFonts w:hint="cs"/>
          <w:rtl/>
        </w:rPr>
        <w:t>ש</w:t>
      </w:r>
      <w:r w:rsidRPr="00883C24">
        <w:rPr>
          <w:rtl/>
        </w:rPr>
        <w:t>החקלאים</w:t>
      </w:r>
      <w:r>
        <w:rPr>
          <w:rFonts w:hint="cs"/>
          <w:rtl/>
        </w:rPr>
        <w:t xml:space="preserve"> </w:t>
      </w:r>
      <w:r w:rsidRPr="00883C24">
        <w:rPr>
          <w:rtl/>
        </w:rPr>
        <w:t xml:space="preserve">סובלים </w:t>
      </w:r>
      <w:r>
        <w:rPr>
          <w:rFonts w:hint="cs"/>
          <w:rtl/>
        </w:rPr>
        <w:t>מפשיעה חמורה המבוצעת כנגדם, ש</w:t>
      </w:r>
      <w:r w:rsidRPr="00883C24">
        <w:rPr>
          <w:rtl/>
        </w:rPr>
        <w:t>פוגעות בהם מבחינה כלכלית ומורלית</w:t>
      </w:r>
      <w:r>
        <w:rPr>
          <w:rFonts w:hint="cs"/>
          <w:rtl/>
        </w:rPr>
        <w:t xml:space="preserve">. </w:t>
      </w:r>
      <w:r w:rsidR="00337037">
        <w:rPr>
          <w:rFonts w:hint="cs"/>
          <w:rtl/>
        </w:rPr>
        <w:t>כתוצאה מכך</w:t>
      </w:r>
      <w:r>
        <w:rPr>
          <w:rFonts w:hint="cs"/>
          <w:rtl/>
        </w:rPr>
        <w:t xml:space="preserve"> נפגעת המדינה כולה.</w:t>
      </w:r>
    </w:p>
    <w:p w14:paraId="1189826F" w14:textId="75D83DEF" w:rsidR="007F1873" w:rsidRPr="00883C24" w:rsidRDefault="007F1873" w:rsidP="004717B1">
      <w:pPr>
        <w:pStyle w:val="Hesber"/>
        <w:rPr>
          <w:rtl/>
        </w:rPr>
      </w:pPr>
      <w:r>
        <w:rPr>
          <w:rFonts w:hint="cs"/>
          <w:rtl/>
        </w:rPr>
        <w:t>עקב</w:t>
      </w:r>
      <w:r w:rsidRPr="00883C24">
        <w:rPr>
          <w:rFonts w:hint="cs"/>
          <w:rtl/>
        </w:rPr>
        <w:t xml:space="preserve"> כך, ו</w:t>
      </w:r>
      <w:r>
        <w:rPr>
          <w:rFonts w:hint="cs"/>
          <w:rtl/>
        </w:rPr>
        <w:t xml:space="preserve">לצד הצורך </w:t>
      </w:r>
      <w:r w:rsidRPr="00883C24">
        <w:rPr>
          <w:rFonts w:hint="cs"/>
          <w:rtl/>
        </w:rPr>
        <w:t xml:space="preserve">בהעלאת נושא הטיפול בפשיעה החקלאית לסדר היום של רשויות אכיפת החוק, </w:t>
      </w:r>
      <w:r w:rsidR="004717B1">
        <w:rPr>
          <w:rFonts w:hint="cs"/>
          <w:rtl/>
        </w:rPr>
        <w:t>מוצע</w:t>
      </w:r>
      <w:r w:rsidRPr="00883C24">
        <w:rPr>
          <w:rFonts w:hint="cs"/>
          <w:rtl/>
        </w:rPr>
        <w:t xml:space="preserve"> להחמיר את רף הענישה ולי</w:t>
      </w:r>
      <w:r>
        <w:rPr>
          <w:rFonts w:hint="cs"/>
          <w:rtl/>
        </w:rPr>
        <w:t>יצ</w:t>
      </w:r>
      <w:r w:rsidRPr="00883C24">
        <w:rPr>
          <w:rFonts w:hint="cs"/>
          <w:rtl/>
        </w:rPr>
        <w:t xml:space="preserve">ר הרתעה מספקת </w:t>
      </w:r>
      <w:r>
        <w:rPr>
          <w:rFonts w:hint="cs"/>
          <w:rtl/>
        </w:rPr>
        <w:t>בכל הקשור לפשיעה חקלאית.</w:t>
      </w:r>
    </w:p>
    <w:p w14:paraId="635D9DF6" w14:textId="107AFE43" w:rsidR="007F1873" w:rsidRPr="00883C24" w:rsidRDefault="00337037" w:rsidP="007F1873">
      <w:pPr>
        <w:pStyle w:val="Hesber"/>
        <w:rPr>
          <w:rtl/>
        </w:rPr>
      </w:pPr>
      <w:r>
        <w:rPr>
          <w:rFonts w:hint="cs"/>
          <w:rtl/>
        </w:rPr>
        <w:t>בסעיף 1 להצעת החוק</w:t>
      </w:r>
      <w:r w:rsidR="007F1873" w:rsidRPr="00883C24">
        <w:rPr>
          <w:rFonts w:hint="cs"/>
          <w:rtl/>
        </w:rPr>
        <w:t xml:space="preserve"> מוצע לתקן את סעיף 77 לחוק העונשין</w:t>
      </w:r>
      <w:r w:rsidR="007F1873">
        <w:rPr>
          <w:rFonts w:hint="cs"/>
          <w:rtl/>
        </w:rPr>
        <w:t xml:space="preserve">, </w:t>
      </w:r>
      <w:r w:rsidR="007F1873" w:rsidRPr="00883C24">
        <w:rPr>
          <w:rFonts w:hint="cs"/>
          <w:rtl/>
        </w:rPr>
        <w:t>התשל"ז</w:t>
      </w:r>
      <w:r w:rsidR="007F1873">
        <w:rPr>
          <w:rFonts w:hint="eastAsia"/>
          <w:rtl/>
        </w:rPr>
        <w:t>–</w:t>
      </w:r>
      <w:r w:rsidR="007F1873" w:rsidRPr="00883C24">
        <w:rPr>
          <w:rFonts w:hint="cs"/>
          <w:rtl/>
        </w:rPr>
        <w:t xml:space="preserve">1977 (להלן </w:t>
      </w:r>
      <w:r w:rsidR="007F1873" w:rsidRPr="00883C24">
        <w:rPr>
          <w:rtl/>
        </w:rPr>
        <w:t>–</w:t>
      </w:r>
      <w:r w:rsidR="007F1873" w:rsidRPr="00883C24">
        <w:rPr>
          <w:rFonts w:hint="cs"/>
          <w:rtl/>
        </w:rPr>
        <w:t xml:space="preserve"> </w:t>
      </w:r>
      <w:r w:rsidR="007F1873">
        <w:rPr>
          <w:rFonts w:hint="cs"/>
          <w:rtl/>
        </w:rPr>
        <w:t>החוק</w:t>
      </w:r>
      <w:r w:rsidR="007F1873" w:rsidRPr="00883C24">
        <w:rPr>
          <w:rFonts w:hint="cs"/>
          <w:rtl/>
        </w:rPr>
        <w:t>)</w:t>
      </w:r>
      <w:r w:rsidR="007F1873">
        <w:rPr>
          <w:rFonts w:hint="cs"/>
          <w:rtl/>
        </w:rPr>
        <w:t>,</w:t>
      </w:r>
      <w:r w:rsidR="007F1873" w:rsidRPr="00883C24">
        <w:rPr>
          <w:rFonts w:hint="cs"/>
          <w:rtl/>
        </w:rPr>
        <w:t xml:space="preserve"> ולה</w:t>
      </w:r>
      <w:r w:rsidR="007F1873">
        <w:rPr>
          <w:rFonts w:hint="cs"/>
          <w:rtl/>
        </w:rPr>
        <w:t>גדיל את הפיצוי המרבי לנפגעי</w:t>
      </w:r>
      <w:r w:rsidR="007F1873" w:rsidRPr="00883C24">
        <w:rPr>
          <w:rFonts w:hint="cs"/>
          <w:rtl/>
        </w:rPr>
        <w:t xml:space="preserve"> </w:t>
      </w:r>
      <w:r w:rsidR="007F1873">
        <w:rPr>
          <w:rFonts w:hint="cs"/>
          <w:rtl/>
        </w:rPr>
        <w:t>ה</w:t>
      </w:r>
      <w:r w:rsidR="007F1873" w:rsidRPr="00883C24">
        <w:rPr>
          <w:rFonts w:hint="cs"/>
          <w:rtl/>
        </w:rPr>
        <w:t xml:space="preserve">פשיעה </w:t>
      </w:r>
      <w:r w:rsidR="007F1873">
        <w:rPr>
          <w:rFonts w:hint="cs"/>
          <w:rtl/>
        </w:rPr>
        <w:t>ה</w:t>
      </w:r>
      <w:r w:rsidR="007F1873" w:rsidRPr="00883C24">
        <w:rPr>
          <w:rFonts w:hint="cs"/>
          <w:rtl/>
        </w:rPr>
        <w:t>חקלאית לסכום של</w:t>
      </w:r>
      <w:r w:rsidR="007F1873">
        <w:rPr>
          <w:rFonts w:hint="cs"/>
          <w:rtl/>
        </w:rPr>
        <w:t xml:space="preserve"> </w:t>
      </w:r>
      <w:r w:rsidR="007F1873" w:rsidRPr="00883C24">
        <w:rPr>
          <w:rFonts w:hint="cs"/>
          <w:rtl/>
        </w:rPr>
        <w:t xml:space="preserve">2,500,000 </w:t>
      </w:r>
      <w:r w:rsidR="007F1873">
        <w:rPr>
          <w:rFonts w:hint="cs"/>
          <w:rtl/>
        </w:rPr>
        <w:t>שקלים חדשים</w:t>
      </w:r>
      <w:r w:rsidR="007F1873" w:rsidRPr="00883C24">
        <w:rPr>
          <w:rFonts w:hint="cs"/>
          <w:rtl/>
        </w:rPr>
        <w:t xml:space="preserve">. להבדיל מתחומי פשיעה אחרים, פשיעה חקלאית פוגעת במשאבים של החקלאי ובאמצעי הייצור שלו. שריפת עצים, ציוד ומכונות, גניבה של תוצרת חקלאית וחיות, </w:t>
      </w:r>
      <w:r w:rsidR="007F1873">
        <w:rPr>
          <w:rFonts w:hint="cs"/>
          <w:rtl/>
        </w:rPr>
        <w:t xml:space="preserve">כולם </w:t>
      </w:r>
      <w:r w:rsidR="007F1873" w:rsidRPr="00883C24">
        <w:rPr>
          <w:rFonts w:hint="cs"/>
          <w:rtl/>
        </w:rPr>
        <w:t xml:space="preserve">גורמים לנזק מתמשך שפוגע במקורות המחייה והפרנסה של החקלאים. לכן </w:t>
      </w:r>
      <w:r w:rsidR="007F1873">
        <w:rPr>
          <w:rFonts w:hint="cs"/>
          <w:rtl/>
        </w:rPr>
        <w:t xml:space="preserve">נדרש </w:t>
      </w:r>
      <w:r w:rsidR="007F1873" w:rsidRPr="00883C24">
        <w:rPr>
          <w:rFonts w:hint="cs"/>
          <w:rtl/>
        </w:rPr>
        <w:t xml:space="preserve">כי יתקיים מנגנון </w:t>
      </w:r>
      <w:r w:rsidR="007F1873">
        <w:rPr>
          <w:rFonts w:hint="cs"/>
          <w:rtl/>
        </w:rPr>
        <w:t xml:space="preserve">שיאפשר </w:t>
      </w:r>
      <w:r w:rsidR="007F1873" w:rsidRPr="00883C24">
        <w:rPr>
          <w:rFonts w:hint="cs"/>
          <w:rtl/>
        </w:rPr>
        <w:t>תשלום פיצוי מ</w:t>
      </w:r>
      <w:r w:rsidR="007F1873">
        <w:rPr>
          <w:rFonts w:hint="cs"/>
          <w:rtl/>
        </w:rPr>
        <w:t>י</w:t>
      </w:r>
      <w:r w:rsidR="007F1873" w:rsidRPr="00883C24">
        <w:rPr>
          <w:rFonts w:hint="cs"/>
          <w:rtl/>
        </w:rPr>
        <w:t xml:space="preserve">די לאחר הרשעה, בלא צורך בהגשת תביעה אזרחית </w:t>
      </w:r>
      <w:r w:rsidR="007F1873">
        <w:rPr>
          <w:rFonts w:hint="cs"/>
          <w:rtl/>
        </w:rPr>
        <w:t>נפרדת מההליך הפלילי.</w:t>
      </w:r>
      <w:r w:rsidR="007F1873" w:rsidRPr="00883C24">
        <w:rPr>
          <w:rFonts w:hint="cs"/>
          <w:rtl/>
        </w:rPr>
        <w:t xml:space="preserve"> </w:t>
      </w:r>
    </w:p>
    <w:p w14:paraId="1981C4B4" w14:textId="03CCEB0B" w:rsidR="007F1873" w:rsidRPr="00883C24" w:rsidRDefault="007F1873" w:rsidP="007F1873">
      <w:pPr>
        <w:pStyle w:val="Hesber"/>
        <w:rPr>
          <w:rtl/>
        </w:rPr>
      </w:pPr>
      <w:r w:rsidRPr="00883C24">
        <w:rPr>
          <w:rFonts w:hint="cs"/>
          <w:rtl/>
        </w:rPr>
        <w:t>בסעיף 2 להצעת החוק, מוצע לתקן את סעיף 384א לחוק, שעניינו גניבה בנסיבות מיוחדות, כך שהעבירה הקבועה בסעיף קטן (א)(2) לסעיף האמור</w:t>
      </w:r>
      <w:r>
        <w:rPr>
          <w:rFonts w:hint="cs"/>
          <w:rtl/>
        </w:rPr>
        <w:t>, העוסקת ב</w:t>
      </w:r>
      <w:r w:rsidRPr="00883C24">
        <w:rPr>
          <w:rFonts w:hint="cs"/>
          <w:rtl/>
        </w:rPr>
        <w:t>גניבה</w:t>
      </w:r>
      <w:r>
        <w:rPr>
          <w:rFonts w:hint="cs"/>
          <w:rtl/>
        </w:rPr>
        <w:t xml:space="preserve"> </w:t>
      </w:r>
      <w:r w:rsidRPr="00883C24">
        <w:rPr>
          <w:rFonts w:hint="cs"/>
          <w:rtl/>
        </w:rPr>
        <w:t xml:space="preserve">של ציוד חקלאי, תוצרת חקלאית, בקר או מקנה, תחול גם אם ערכו של הדבר הנגנב </w:t>
      </w:r>
      <w:r>
        <w:rPr>
          <w:rFonts w:hint="cs"/>
          <w:rtl/>
        </w:rPr>
        <w:t>פחות מ-</w:t>
      </w:r>
      <w:r w:rsidRPr="00883C24">
        <w:rPr>
          <w:rFonts w:hint="cs"/>
          <w:rtl/>
        </w:rPr>
        <w:t xml:space="preserve">1,000 </w:t>
      </w:r>
      <w:r>
        <w:rPr>
          <w:rFonts w:hint="cs"/>
          <w:rtl/>
        </w:rPr>
        <w:t>שקלים חדשים</w:t>
      </w:r>
      <w:r w:rsidR="00337037">
        <w:rPr>
          <w:rFonts w:hint="cs"/>
          <w:rtl/>
        </w:rPr>
        <w:t>,</w:t>
      </w:r>
      <w:r w:rsidRPr="00883C24">
        <w:rPr>
          <w:rFonts w:hint="cs"/>
          <w:rtl/>
        </w:rPr>
        <w:t xml:space="preserve"> </w:t>
      </w:r>
      <w:r>
        <w:rPr>
          <w:rFonts w:hint="cs"/>
          <w:rtl/>
        </w:rPr>
        <w:t xml:space="preserve">שכן, </w:t>
      </w:r>
      <w:r w:rsidRPr="00883C24">
        <w:rPr>
          <w:rFonts w:hint="cs"/>
          <w:rtl/>
        </w:rPr>
        <w:t>די בהשחתה של ברז שעולה שקלים בודדים כדי לגרום לשורה של נזקים נוספים שעלותם הכוללת יכולה לה</w:t>
      </w:r>
      <w:r>
        <w:rPr>
          <w:rFonts w:hint="cs"/>
          <w:rtl/>
        </w:rPr>
        <w:t>גיע ל</w:t>
      </w:r>
      <w:r w:rsidRPr="00883C24">
        <w:rPr>
          <w:rFonts w:hint="cs"/>
          <w:rtl/>
        </w:rPr>
        <w:t>עשרות אלפי שקלים</w:t>
      </w:r>
      <w:r w:rsidR="004717B1">
        <w:rPr>
          <w:rFonts w:hint="cs"/>
          <w:rtl/>
        </w:rPr>
        <w:t xml:space="preserve"> חדשים</w:t>
      </w:r>
      <w:r w:rsidRPr="00883C24">
        <w:rPr>
          <w:rFonts w:hint="cs"/>
          <w:rtl/>
        </w:rPr>
        <w:t xml:space="preserve">. ציוד חקלאי מהווה חלק בלתי נפרד מפסי הייצור והגידול של חקלאים, ולכן אין היגיון בבחינת ערכו הכספי של הציוד לשם קביעת חומרת העבירה. </w:t>
      </w:r>
    </w:p>
    <w:p w14:paraId="2263FB2B" w14:textId="183B2392" w:rsidR="007F1873" w:rsidRDefault="007F1873" w:rsidP="007F1873">
      <w:pPr>
        <w:pStyle w:val="Hesber"/>
        <w:rPr>
          <w:rtl/>
        </w:rPr>
      </w:pPr>
      <w:r w:rsidRPr="00883C24">
        <w:rPr>
          <w:rFonts w:hint="cs"/>
          <w:rtl/>
        </w:rPr>
        <w:t>עוד מוצע בסעיפים 2 ו-3 להצע</w:t>
      </w:r>
      <w:r>
        <w:rPr>
          <w:rFonts w:hint="cs"/>
          <w:rtl/>
        </w:rPr>
        <w:t>ה</w:t>
      </w:r>
      <w:r w:rsidRPr="00883C24">
        <w:rPr>
          <w:rFonts w:hint="cs"/>
          <w:rtl/>
        </w:rPr>
        <w:t xml:space="preserve"> להחמיר את הענישה הקבועה </w:t>
      </w:r>
      <w:r>
        <w:rPr>
          <w:rFonts w:hint="cs"/>
          <w:rtl/>
        </w:rPr>
        <w:t>בחוק בסעיפים 384א ו-460, בנוגע לעבירות גניבה או איום לשרוף או להרוס דבר הקשור לחקלאות, ולקבוע</w:t>
      </w:r>
      <w:r w:rsidR="004717B1">
        <w:rPr>
          <w:rFonts w:hint="cs"/>
          <w:rtl/>
        </w:rPr>
        <w:t xml:space="preserve"> עונש מאסר ממושך יותר </w:t>
      </w:r>
      <w:r w:rsidRPr="00883C24">
        <w:rPr>
          <w:rFonts w:hint="cs"/>
          <w:rtl/>
        </w:rPr>
        <w:t>נוסף</w:t>
      </w:r>
      <w:r w:rsidR="004717B1">
        <w:rPr>
          <w:rFonts w:hint="cs"/>
          <w:rtl/>
        </w:rPr>
        <w:t xml:space="preserve"> על </w:t>
      </w:r>
      <w:r w:rsidRPr="00883C24">
        <w:rPr>
          <w:rFonts w:hint="cs"/>
          <w:rtl/>
        </w:rPr>
        <w:t>קנס כספי</w:t>
      </w:r>
      <w:r>
        <w:rPr>
          <w:rFonts w:hint="cs"/>
          <w:rtl/>
        </w:rPr>
        <w:t>,</w:t>
      </w:r>
      <w:r w:rsidRPr="00883C24">
        <w:rPr>
          <w:rFonts w:hint="cs"/>
          <w:rtl/>
        </w:rPr>
        <w:t xml:space="preserve"> וכן עונש מינימום שיחול על מי שמורשע בעבירות האמורות, באופן שישיג את מטרת ההרתעה.</w:t>
      </w:r>
    </w:p>
    <w:p w14:paraId="78671FD1" w14:textId="77777777" w:rsidR="004717B1" w:rsidRDefault="004717B1" w:rsidP="007F1873">
      <w:pPr>
        <w:pStyle w:val="Hesber"/>
        <w:rPr>
          <w:rtl/>
        </w:rPr>
      </w:pPr>
    </w:p>
    <w:p w14:paraId="273C9F05" w14:textId="77777777" w:rsidR="004717B1" w:rsidRDefault="004717B1" w:rsidP="007F1873">
      <w:pPr>
        <w:pStyle w:val="Hesber"/>
      </w:pPr>
    </w:p>
    <w:p w14:paraId="2FD04705" w14:textId="77777777" w:rsidR="004717B1" w:rsidRPr="00D73212" w:rsidRDefault="004717B1" w:rsidP="004717B1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64416062" w14:textId="77777777" w:rsidR="004717B1" w:rsidRPr="00D73212" w:rsidRDefault="004717B1" w:rsidP="004717B1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3B1B7A13" w14:textId="77777777" w:rsidR="004717B1" w:rsidRPr="00D73212" w:rsidRDefault="004717B1" w:rsidP="004717B1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28270904" w14:textId="77777777" w:rsidR="004717B1" w:rsidRPr="00317312" w:rsidRDefault="004717B1" w:rsidP="004717B1">
      <w:pPr>
        <w:pStyle w:val="Hesber"/>
      </w:pPr>
      <w:r>
        <w:rPr>
          <w:rFonts w:hint="cs"/>
          <w:color w:val="auto"/>
          <w:rtl/>
          <w:lang w:eastAsia="en-US"/>
        </w:rPr>
        <w:t>י"ח באדר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ח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5.3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18</w:t>
      </w:r>
    </w:p>
    <w:p w14:paraId="7C919752" w14:textId="77777777" w:rsidR="004717B1" w:rsidRDefault="004717B1" w:rsidP="004717B1">
      <w:pPr>
        <w:spacing w:before="0" w:line="360" w:lineRule="auto"/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</w:p>
    <w:p w14:paraId="6BEE1448" w14:textId="7B281A54" w:rsidR="003D650E" w:rsidRPr="004717B1" w:rsidRDefault="003D650E" w:rsidP="007F1873"/>
    <w:sectPr w:rsidR="003D650E" w:rsidRPr="004717B1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DC55F" w14:textId="77777777" w:rsidR="00BD34CA" w:rsidRDefault="00BD34CA">
      <w:r>
        <w:separator/>
      </w:r>
    </w:p>
  </w:endnote>
  <w:endnote w:type="continuationSeparator" w:id="0">
    <w:p w14:paraId="540BE05E" w14:textId="77777777" w:rsidR="00BD34CA" w:rsidRDefault="00BD34CA">
      <w:r>
        <w:continuationSeparator/>
      </w:r>
    </w:p>
  </w:endnote>
  <w:endnote w:type="continuationNotice" w:id="1">
    <w:p w14:paraId="54F1D10A" w14:textId="77777777" w:rsidR="00BD34CA" w:rsidRDefault="00BD34C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6F244B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47562" w14:textId="77777777" w:rsidR="00BD34CA" w:rsidRDefault="00BD34CA">
      <w:r>
        <w:separator/>
      </w:r>
    </w:p>
  </w:footnote>
  <w:footnote w:type="continuationSeparator" w:id="0">
    <w:p w14:paraId="7A11947E" w14:textId="77777777" w:rsidR="00BD34CA" w:rsidRDefault="00BD34CA">
      <w:r>
        <w:continuationSeparator/>
      </w:r>
    </w:p>
  </w:footnote>
  <w:footnote w:type="continuationNotice" w:id="1">
    <w:p w14:paraId="703B2E2F" w14:textId="77777777" w:rsidR="00BD34CA" w:rsidRDefault="00BD34CA"/>
  </w:footnote>
  <w:footnote w:id="2">
    <w:p w14:paraId="70A768ED" w14:textId="77777777" w:rsidR="007F1873" w:rsidRDefault="007F1873" w:rsidP="007F1873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התשל"ז, עמ' 226.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20BD3"/>
    <w:multiLevelType w:val="hybridMultilevel"/>
    <w:tmpl w:val="3D02CA94"/>
    <w:lvl w:ilvl="0" w:tplc="8CB0A9F2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67F4B"/>
    <w:multiLevelType w:val="hybridMultilevel"/>
    <w:tmpl w:val="801C3DC0"/>
    <w:lvl w:ilvl="0" w:tplc="1DF460F2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339"/>
    <w:rsid w:val="001279A8"/>
    <w:rsid w:val="0014195F"/>
    <w:rsid w:val="00152609"/>
    <w:rsid w:val="00153E1B"/>
    <w:rsid w:val="001A0623"/>
    <w:rsid w:val="001C23B0"/>
    <w:rsid w:val="001D5C51"/>
    <w:rsid w:val="001D7AAF"/>
    <w:rsid w:val="00203A7F"/>
    <w:rsid w:val="002101CA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3144E"/>
    <w:rsid w:val="00337037"/>
    <w:rsid w:val="0036422C"/>
    <w:rsid w:val="00366163"/>
    <w:rsid w:val="003710F6"/>
    <w:rsid w:val="00386E88"/>
    <w:rsid w:val="00396585"/>
    <w:rsid w:val="003D650E"/>
    <w:rsid w:val="003D6E38"/>
    <w:rsid w:val="003D74A0"/>
    <w:rsid w:val="004033D8"/>
    <w:rsid w:val="004073F0"/>
    <w:rsid w:val="00412A7D"/>
    <w:rsid w:val="00416B4D"/>
    <w:rsid w:val="00417CFC"/>
    <w:rsid w:val="004306E5"/>
    <w:rsid w:val="00470844"/>
    <w:rsid w:val="004717B1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94362"/>
    <w:rsid w:val="005B064E"/>
    <w:rsid w:val="005D3BD5"/>
    <w:rsid w:val="005D51AE"/>
    <w:rsid w:val="0062674B"/>
    <w:rsid w:val="006363B2"/>
    <w:rsid w:val="00644940"/>
    <w:rsid w:val="006818A9"/>
    <w:rsid w:val="006A2D81"/>
    <w:rsid w:val="006C1D0D"/>
    <w:rsid w:val="006F244B"/>
    <w:rsid w:val="0070601E"/>
    <w:rsid w:val="00712C72"/>
    <w:rsid w:val="00735FE9"/>
    <w:rsid w:val="00763CAA"/>
    <w:rsid w:val="00765F66"/>
    <w:rsid w:val="00776885"/>
    <w:rsid w:val="0078664F"/>
    <w:rsid w:val="007B6D4D"/>
    <w:rsid w:val="007C3FA6"/>
    <w:rsid w:val="007D585A"/>
    <w:rsid w:val="007D5A12"/>
    <w:rsid w:val="007E59F9"/>
    <w:rsid w:val="007F1873"/>
    <w:rsid w:val="008068EB"/>
    <w:rsid w:val="00810BCD"/>
    <w:rsid w:val="00812C98"/>
    <w:rsid w:val="00814D92"/>
    <w:rsid w:val="0083181D"/>
    <w:rsid w:val="00843EB2"/>
    <w:rsid w:val="00865572"/>
    <w:rsid w:val="00874BBC"/>
    <w:rsid w:val="00883C24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8702D"/>
    <w:rsid w:val="009A0DB8"/>
    <w:rsid w:val="009A7257"/>
    <w:rsid w:val="009D6E0A"/>
    <w:rsid w:val="009E1E33"/>
    <w:rsid w:val="00A14672"/>
    <w:rsid w:val="00A16C8A"/>
    <w:rsid w:val="00A24DF4"/>
    <w:rsid w:val="00A26BD6"/>
    <w:rsid w:val="00A443CF"/>
    <w:rsid w:val="00A6504E"/>
    <w:rsid w:val="00A6611D"/>
    <w:rsid w:val="00A82CB7"/>
    <w:rsid w:val="00A94218"/>
    <w:rsid w:val="00A942C1"/>
    <w:rsid w:val="00AA2F03"/>
    <w:rsid w:val="00AC36F7"/>
    <w:rsid w:val="00AC63A4"/>
    <w:rsid w:val="00AD1DAE"/>
    <w:rsid w:val="00AD239E"/>
    <w:rsid w:val="00B10265"/>
    <w:rsid w:val="00B16A99"/>
    <w:rsid w:val="00B21211"/>
    <w:rsid w:val="00B35784"/>
    <w:rsid w:val="00B5455C"/>
    <w:rsid w:val="00B57EAD"/>
    <w:rsid w:val="00B733A7"/>
    <w:rsid w:val="00B75C91"/>
    <w:rsid w:val="00B975AD"/>
    <w:rsid w:val="00BC45FB"/>
    <w:rsid w:val="00BD34CA"/>
    <w:rsid w:val="00BF148D"/>
    <w:rsid w:val="00C23B1A"/>
    <w:rsid w:val="00C310EB"/>
    <w:rsid w:val="00C8293E"/>
    <w:rsid w:val="00C9176A"/>
    <w:rsid w:val="00CA4965"/>
    <w:rsid w:val="00CC60FD"/>
    <w:rsid w:val="00CE13C9"/>
    <w:rsid w:val="00CF1AA2"/>
    <w:rsid w:val="00D17774"/>
    <w:rsid w:val="00D36597"/>
    <w:rsid w:val="00D63620"/>
    <w:rsid w:val="00D8410D"/>
    <w:rsid w:val="00D865AC"/>
    <w:rsid w:val="00D867D7"/>
    <w:rsid w:val="00DB7060"/>
    <w:rsid w:val="00DE3153"/>
    <w:rsid w:val="00E06736"/>
    <w:rsid w:val="00E13C27"/>
    <w:rsid w:val="00E33BBD"/>
    <w:rsid w:val="00E374F2"/>
    <w:rsid w:val="00E45103"/>
    <w:rsid w:val="00E45C1B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07FE1"/>
    <w:rsid w:val="00F37177"/>
    <w:rsid w:val="00F628D6"/>
    <w:rsid w:val="00F67051"/>
    <w:rsid w:val="00F86A1E"/>
    <w:rsid w:val="00F97508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uiPriority w:val="99"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uiPriority w:val="99"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uiPriority w:val="99"/>
    <w:rsid w:val="0098702D"/>
    <w:rPr>
      <w:rFonts w:ascii="Arial" w:eastAsia="Arial Unicode MS" w:hAnsi="Arial" w:cs="David"/>
      <w:snapToGrid w:val="0"/>
      <w:color w:val="000000"/>
      <w:sz w:val="14"/>
      <w:lang w:eastAsia="ja-JP"/>
    </w:rPr>
  </w:style>
  <w:style w:type="character" w:customStyle="1" w:styleId="default">
    <w:name w:val="default"/>
    <w:basedOn w:val="a0"/>
    <w:rsid w:val="00F97508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F97508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eastAsia="Times New Roman"/>
      <w:noProof/>
      <w:szCs w:val="26"/>
      <w:lang w:eastAsia="he-IL"/>
    </w:rPr>
  </w:style>
  <w:style w:type="character" w:customStyle="1" w:styleId="big-number">
    <w:name w:val="big-number"/>
    <w:basedOn w:val="default"/>
    <w:rsid w:val="00F97508"/>
    <w:rPr>
      <w:rFonts w:ascii="Times New Roman" w:hAnsi="Times New Roman" w:cs="Times New Roman"/>
      <w:sz w:val="32"/>
      <w:szCs w:val="32"/>
    </w:rPr>
  </w:style>
  <w:style w:type="paragraph" w:customStyle="1" w:styleId="header-2">
    <w:name w:val="header-2"/>
    <w:basedOn w:val="P00"/>
    <w:rsid w:val="00F97508"/>
    <w:pPr>
      <w:keepNext/>
      <w:keepLines/>
      <w:tabs>
        <w:tab w:val="clear" w:pos="6259"/>
      </w:tabs>
      <w:spacing w:before="240"/>
      <w:jc w:val="center"/>
    </w:pPr>
    <w:rPr>
      <w:szCs w:val="20"/>
    </w:rPr>
  </w:style>
  <w:style w:type="character" w:styleId="ae">
    <w:name w:val="annotation reference"/>
    <w:basedOn w:val="a0"/>
    <w:semiHidden/>
    <w:unhideWhenUsed/>
    <w:rsid w:val="00A6504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6504E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A6504E"/>
    <w:rPr>
      <w:rFonts w:ascii="Hadasa Roso SL" w:hAnsi="Hadasa Roso SL" w:cs="Hadasa Roso SL"/>
      <w:color w:val="000000"/>
      <w:spacing w:val="1"/>
      <w:lang w:eastAsia="ja-JP"/>
    </w:rPr>
  </w:style>
  <w:style w:type="paragraph" w:styleId="af1">
    <w:name w:val="annotation subject"/>
    <w:basedOn w:val="af"/>
    <w:next w:val="af"/>
    <w:link w:val="af2"/>
    <w:semiHidden/>
    <w:unhideWhenUsed/>
    <w:rsid w:val="00A6504E"/>
    <w:rPr>
      <w:b/>
      <w:bCs/>
    </w:rPr>
  </w:style>
  <w:style w:type="character" w:customStyle="1" w:styleId="af2">
    <w:name w:val="נושא הערה תו"/>
    <w:basedOn w:val="af0"/>
    <w:link w:val="af1"/>
    <w:semiHidden/>
    <w:rsid w:val="00A6504E"/>
    <w:rPr>
      <w:rFonts w:ascii="Hadasa Roso SL" w:hAnsi="Hadasa Roso SL" w:cs="Hadasa Roso SL"/>
      <w:b/>
      <w:bCs/>
      <w:color w:val="000000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A659B-891F-4292-8422-BD9C7A89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987C2B-5330-4534-A92C-4385BD08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אליסה מיטצ'יקוב</cp:lastModifiedBy>
  <cp:revision>2</cp:revision>
  <cp:lastPrinted>2018-03-04T08:28:00Z</cp:lastPrinted>
  <dcterms:created xsi:type="dcterms:W3CDTF">2018-05-07T09:36:00Z</dcterms:created>
  <dcterms:modified xsi:type="dcterms:W3CDTF">2018-05-07T09:36:00Z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2025589</vt:r8>
  </property>
</Properties>
</file>